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highlight w:val="none"/>
          <w:lang w:val="zh-CN"/>
        </w:rPr>
        <w:id w:val="652958763"/>
        <w:docPartObj>
          <w:docPartGallery w:val="Table of Contents"/>
          <w:docPartUnique/>
        </w:docPartObj>
      </w:sdtPr>
      <w:sdtEndPr>
        <w:rPr>
          <w:rFonts w:hint="eastAsia" w:ascii="微软雅黑" w:hAnsi="微软雅黑" w:eastAsia="微软雅黑" w:cs="微软雅黑"/>
          <w:caps/>
          <w:color w:val="000000"/>
          <w:sz w:val="24"/>
          <w:szCs w:val="24"/>
          <w:highlight w:val="none"/>
          <w:lang w:val="zh-CN"/>
        </w:rPr>
      </w:sdtEndPr>
      <w:sdtContent>
        <w:p w14:paraId="161932F3">
          <w:pPr>
            <w:spacing w:line="240" w:lineRule="auto"/>
            <w:jc w:val="center"/>
            <w:rPr>
              <w:rFonts w:hint="eastAsia" w:ascii="微软雅黑" w:hAnsi="微软雅黑" w:eastAsia="微软雅黑" w:cs="微软雅黑"/>
              <w:b/>
              <w:bCs/>
              <w:sz w:val="56"/>
              <w:szCs w:val="56"/>
              <w:highlight w:val="none"/>
              <w:lang w:val="en-US" w:eastAsia="zh-CN"/>
            </w:rPr>
          </w:pPr>
          <w:bookmarkStart w:id="0" w:name="_Toc273602339"/>
          <w:bookmarkStart w:id="1" w:name="_Toc245092759"/>
          <w:bookmarkStart w:id="2" w:name="_Toc328559326"/>
          <w:r>
            <w:rPr>
              <w:rFonts w:hint="eastAsia" w:ascii="微软雅黑" w:hAnsi="微软雅黑" w:eastAsia="微软雅黑" w:cs="微软雅黑"/>
              <w:b/>
              <w:bCs/>
              <w:sz w:val="56"/>
              <w:szCs w:val="56"/>
              <w:highlight w:val="none"/>
              <w:lang w:val="en-US" w:eastAsia="zh-CN"/>
            </w:rPr>
            <w:t>合肥市</w:t>
          </w:r>
          <w:r>
            <w:rPr>
              <w:rFonts w:hint="eastAsia" w:ascii="微软雅黑" w:hAnsi="微软雅黑" w:eastAsia="微软雅黑" w:cs="微软雅黑"/>
              <w:b/>
              <w:bCs/>
              <w:caps/>
              <w:sz w:val="56"/>
              <w:szCs w:val="56"/>
              <w:highlight w:val="none"/>
              <w:lang w:val="en-US" w:eastAsia="zh-CN"/>
            </w:rPr>
            <w:t>包河区</w:t>
          </w:r>
          <w:r>
            <w:rPr>
              <w:rFonts w:hint="eastAsia" w:ascii="微软雅黑" w:hAnsi="微软雅黑" w:eastAsia="微软雅黑" w:cs="微软雅黑"/>
              <w:b/>
              <w:bCs/>
              <w:sz w:val="56"/>
              <w:szCs w:val="56"/>
              <w:highlight w:val="none"/>
            </w:rPr>
            <w:t>城市更新项目</w:t>
          </w:r>
        </w:p>
        <w:p w14:paraId="3EC20F31">
          <w:pPr>
            <w:spacing w:line="240" w:lineRule="auto"/>
            <w:jc w:val="center"/>
            <w:rPr>
              <w:rFonts w:hint="eastAsia" w:ascii="微软雅黑" w:hAnsi="微软雅黑" w:eastAsia="微软雅黑" w:cs="微软雅黑"/>
              <w:b/>
              <w:bCs/>
              <w:sz w:val="56"/>
              <w:szCs w:val="56"/>
              <w:highlight w:val="none"/>
            </w:rPr>
          </w:pPr>
          <w:r>
            <w:rPr>
              <w:rFonts w:hint="eastAsia" w:ascii="微软雅黑" w:hAnsi="微软雅黑" w:eastAsia="微软雅黑" w:cs="微软雅黑"/>
              <w:b/>
              <w:bCs/>
              <w:sz w:val="56"/>
              <w:szCs w:val="56"/>
              <w:highlight w:val="none"/>
            </w:rPr>
            <w:t>废旧变压器、电缆等设施设备处置</w:t>
          </w:r>
          <w:r>
            <w:rPr>
              <w:rFonts w:hint="eastAsia" w:ascii="微软雅黑" w:hAnsi="微软雅黑" w:eastAsia="微软雅黑" w:cs="微软雅黑"/>
              <w:b/>
              <w:bCs/>
              <w:sz w:val="56"/>
              <w:szCs w:val="56"/>
              <w:highlight w:val="none"/>
            </w:rPr>
            <w:tab/>
          </w:r>
        </w:p>
        <w:p w14:paraId="2432D4C0">
          <w:pPr>
            <w:adjustRightInd w:val="0"/>
            <w:snapToGrid w:val="0"/>
            <w:spacing w:before="48" w:beforeLines="20" w:after="48" w:afterLines="20" w:line="240" w:lineRule="auto"/>
            <w:jc w:val="center"/>
            <w:rPr>
              <w:rFonts w:hint="eastAsia" w:ascii="微软雅黑" w:hAnsi="微软雅黑" w:eastAsia="微软雅黑" w:cs="微软雅黑"/>
              <w:b/>
              <w:bCs/>
              <w:sz w:val="72"/>
              <w:szCs w:val="72"/>
              <w:highlight w:val="none"/>
            </w:rPr>
          </w:pPr>
        </w:p>
        <w:p w14:paraId="48D83196">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3AA14135">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16F4AD48">
          <w:pPr>
            <w:pStyle w:val="28"/>
            <w:spacing w:line="240" w:lineRule="auto"/>
            <w:rPr>
              <w:rFonts w:hint="eastAsia" w:ascii="微软雅黑" w:hAnsi="微软雅黑" w:eastAsia="微软雅黑" w:cs="微软雅黑"/>
              <w:b/>
              <w:sz w:val="30"/>
              <w:szCs w:val="30"/>
              <w:highlight w:val="none"/>
            </w:rPr>
          </w:pPr>
        </w:p>
        <w:p w14:paraId="174B289F">
          <w:pPr>
            <w:pStyle w:val="28"/>
            <w:spacing w:line="240" w:lineRule="auto"/>
            <w:rPr>
              <w:rFonts w:hint="eastAsia" w:ascii="微软雅黑" w:hAnsi="微软雅黑" w:eastAsia="微软雅黑" w:cs="微软雅黑"/>
              <w:b/>
              <w:sz w:val="30"/>
              <w:szCs w:val="30"/>
              <w:highlight w:val="none"/>
            </w:rPr>
          </w:pPr>
        </w:p>
        <w:p w14:paraId="5E31F66F">
          <w:pPr>
            <w:adjustRightInd w:val="0"/>
            <w:snapToGrid w:val="0"/>
            <w:spacing w:before="48" w:beforeLines="20" w:after="48" w:afterLines="20" w:line="240" w:lineRule="auto"/>
            <w:jc w:val="center"/>
            <w:rPr>
              <w:rFonts w:hint="eastAsia" w:ascii="微软雅黑" w:hAnsi="微软雅黑" w:eastAsia="微软雅黑" w:cs="微软雅黑"/>
              <w:b/>
              <w:bCs/>
              <w:spacing w:val="-20"/>
              <w:sz w:val="36"/>
              <w:szCs w:val="36"/>
              <w:highlight w:val="none"/>
            </w:rPr>
          </w:pPr>
          <w:r>
            <w:rPr>
              <w:rFonts w:hint="eastAsia" w:ascii="微软雅黑" w:hAnsi="微软雅黑" w:eastAsia="微软雅黑" w:cs="微软雅黑"/>
              <w:b/>
              <w:bCs/>
              <w:spacing w:val="-20"/>
              <w:sz w:val="36"/>
              <w:szCs w:val="36"/>
              <w:highlight w:val="none"/>
            </w:rPr>
            <w:t>招标单位：合肥市包河区城市更新建设有限公司</w:t>
          </w:r>
        </w:p>
        <w:p w14:paraId="7749C96A">
          <w:pPr>
            <w:tabs>
              <w:tab w:val="left" w:pos="420"/>
              <w:tab w:val="left" w:pos="4200"/>
            </w:tabs>
            <w:spacing w:line="240" w:lineRule="auto"/>
            <w:jc w:val="center"/>
            <w:rPr>
              <w:rFonts w:hint="eastAsia" w:ascii="微软雅黑" w:hAnsi="微软雅黑" w:eastAsia="微软雅黑" w:cs="微软雅黑"/>
              <w:sz w:val="32"/>
              <w:highlight w:val="none"/>
            </w:rPr>
          </w:pPr>
          <w:bookmarkStart w:id="3" w:name="_Toc273602338"/>
          <w:bookmarkStart w:id="4" w:name="_Toc245092758"/>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四</w:t>
          </w:r>
          <w:r>
            <w:rPr>
              <w:rFonts w:hint="eastAsia" w:ascii="微软雅黑" w:hAnsi="微软雅黑" w:eastAsia="微软雅黑" w:cs="微软雅黑"/>
              <w:bCs/>
              <w:sz w:val="36"/>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60EC4A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bookmarkStart w:id="5" w:name="_Hlk156310076"/>
      <w:bookmarkStart w:id="6" w:name="_Toc157065227"/>
      <w:r>
        <w:rPr>
          <w:rFonts w:hint="eastAsia" w:ascii="微软雅黑" w:hAnsi="微软雅黑" w:eastAsia="微软雅黑" w:cs="微软雅黑"/>
          <w:color w:val="000000"/>
          <w:sz w:val="24"/>
          <w:szCs w:val="24"/>
          <w:highlight w:val="none"/>
          <w:lang w:val="zh-CN"/>
        </w:rPr>
        <w:t>合肥市包河区城市更新建设有限公司</w:t>
      </w:r>
      <w:bookmarkEnd w:id="5"/>
      <w:r>
        <w:rPr>
          <w:rFonts w:hint="eastAsia" w:ascii="微软雅黑" w:hAnsi="微软雅黑" w:eastAsia="微软雅黑" w:cs="微软雅黑"/>
          <w:color w:val="000000"/>
          <w:sz w:val="24"/>
          <w:szCs w:val="24"/>
          <w:highlight w:val="none"/>
          <w:lang w:val="zh-CN"/>
        </w:rPr>
        <w:t>对</w:t>
      </w:r>
      <w:r>
        <w:rPr>
          <w:rFonts w:hint="eastAsia" w:ascii="微软雅黑" w:hAnsi="微软雅黑" w:eastAsia="微软雅黑" w:cs="微软雅黑"/>
          <w:b/>
          <w:bCs/>
          <w:color w:val="000000"/>
          <w:sz w:val="24"/>
          <w:szCs w:val="24"/>
          <w:highlight w:val="none"/>
          <w:u w:val="single"/>
          <w:lang w:val="zh-CN"/>
        </w:rPr>
        <w:t>“</w:t>
      </w:r>
      <w:r>
        <w:rPr>
          <w:rFonts w:hint="eastAsia" w:ascii="微软雅黑" w:hAnsi="微软雅黑" w:eastAsia="微软雅黑" w:cs="微软雅黑"/>
          <w:b/>
          <w:bCs/>
          <w:color w:val="000000"/>
          <w:sz w:val="24"/>
          <w:szCs w:val="24"/>
          <w:highlight w:val="none"/>
          <w:u w:val="single"/>
          <w:lang w:val="zh-CN" w:eastAsia="zh-CN"/>
        </w:rPr>
        <w:t>合肥市</w:t>
      </w:r>
      <w:r>
        <w:rPr>
          <w:rFonts w:hint="eastAsia" w:ascii="微软雅黑" w:hAnsi="微软雅黑" w:eastAsia="微软雅黑" w:cs="微软雅黑"/>
          <w:b/>
          <w:bCs/>
          <w:color w:val="000000"/>
          <w:sz w:val="24"/>
          <w:szCs w:val="24"/>
          <w:highlight w:val="none"/>
          <w:u w:val="single"/>
          <w:lang w:val="en-US" w:eastAsia="zh-CN"/>
        </w:rPr>
        <w:t>包河区</w:t>
      </w:r>
      <w:r>
        <w:rPr>
          <w:rFonts w:hint="eastAsia" w:ascii="微软雅黑" w:hAnsi="微软雅黑" w:eastAsia="微软雅黑" w:cs="微软雅黑"/>
          <w:b/>
          <w:bCs/>
          <w:color w:val="000000"/>
          <w:sz w:val="24"/>
          <w:szCs w:val="24"/>
          <w:highlight w:val="none"/>
          <w:u w:val="single"/>
          <w:lang w:val="zh-CN"/>
        </w:rPr>
        <w:t>城市更新项目废旧变压器、电缆等设施设备处置”</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226438B3">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 xml:space="preserve">第一章 </w:t>
      </w:r>
      <w:bookmarkEnd w:id="0"/>
      <w:bookmarkEnd w:id="1"/>
      <w:bookmarkEnd w:id="2"/>
      <w:r>
        <w:rPr>
          <w:rFonts w:hint="eastAsia" w:ascii="微软雅黑" w:hAnsi="微软雅黑" w:eastAsia="微软雅黑" w:cs="微软雅黑"/>
          <w:b/>
          <w:bCs/>
          <w:color w:val="000000"/>
          <w:sz w:val="36"/>
          <w:szCs w:val="36"/>
          <w:highlight w:val="none"/>
        </w:rPr>
        <w:t>招标公告</w:t>
      </w:r>
      <w:bookmarkEnd w:id="6"/>
    </w:p>
    <w:p w14:paraId="504982A8">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一、项目名称及</w:t>
      </w:r>
      <w:r>
        <w:rPr>
          <w:rFonts w:hint="eastAsia" w:ascii="微软雅黑" w:hAnsi="微软雅黑" w:eastAsia="微软雅黑" w:cs="微软雅黑"/>
          <w:b/>
          <w:color w:val="000000"/>
          <w:sz w:val="32"/>
          <w:szCs w:val="32"/>
          <w:highlight w:val="none"/>
        </w:rPr>
        <w:t>需求</w:t>
      </w:r>
      <w:r>
        <w:rPr>
          <w:rFonts w:hint="eastAsia" w:ascii="微软雅黑" w:hAnsi="微软雅黑" w:eastAsia="微软雅黑" w:cs="微软雅黑"/>
          <w:b/>
          <w:color w:val="000000"/>
          <w:sz w:val="32"/>
          <w:szCs w:val="32"/>
          <w:highlight w:val="none"/>
          <w:lang w:val="zh-CN"/>
        </w:rPr>
        <w:t>：</w:t>
      </w:r>
    </w:p>
    <w:p w14:paraId="746AEC6F">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（一）项目名称及招标方式：</w:t>
      </w:r>
    </w:p>
    <w:p w14:paraId="46F0E53C">
      <w:pPr>
        <w:autoSpaceDE w:val="0"/>
        <w:autoSpaceDN w:val="0"/>
        <w:adjustRightInd w:val="0"/>
        <w:spacing w:after="0" w:line="360" w:lineRule="auto"/>
        <w:ind w:firstLine="480" w:firstLineChars="200"/>
        <w:jc w:val="both"/>
        <w:rPr>
          <w:rFonts w:hint="default"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1. </w:t>
      </w:r>
      <w:r>
        <w:rPr>
          <w:rFonts w:hint="eastAsia" w:ascii="微软雅黑" w:hAnsi="微软雅黑" w:eastAsia="微软雅黑" w:cs="微软雅黑"/>
          <w:color w:val="000000"/>
          <w:sz w:val="24"/>
          <w:szCs w:val="24"/>
          <w:highlight w:val="none"/>
          <w:lang w:val="zh-CN"/>
        </w:rPr>
        <w:t>项目名称：</w:t>
      </w:r>
      <w:r>
        <w:rPr>
          <w:rFonts w:hint="eastAsia" w:ascii="微软雅黑" w:hAnsi="微软雅黑" w:eastAsia="微软雅黑" w:cs="微软雅黑"/>
          <w:color w:val="000000"/>
          <w:sz w:val="24"/>
          <w:szCs w:val="24"/>
          <w:highlight w:val="none"/>
          <w:lang w:val="zh-CN" w:eastAsia="zh-CN"/>
        </w:rPr>
        <w:t>合肥市包河区</w:t>
      </w:r>
      <w:r>
        <w:rPr>
          <w:rFonts w:hint="eastAsia" w:ascii="微软雅黑" w:hAnsi="微软雅黑" w:eastAsia="微软雅黑" w:cs="微软雅黑"/>
          <w:color w:val="000000"/>
          <w:sz w:val="24"/>
          <w:szCs w:val="24"/>
          <w:highlight w:val="none"/>
          <w:lang w:val="zh-CN"/>
        </w:rPr>
        <w:t>城市更新项目废旧变压器、电缆等设施设备处置</w:t>
      </w:r>
    </w:p>
    <w:p w14:paraId="3755E87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 招标方式：公开招标</w:t>
      </w:r>
    </w:p>
    <w:p w14:paraId="16BBED6D">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（二）处置内容：</w:t>
      </w:r>
    </w:p>
    <w:p w14:paraId="61D61C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合肥市包河区城市更新建设有限公司所属废旧变压器、电缆等设施设备【包括电缆（材料：铝、型号：1*50）若干、配电箱（JP柜、型号：XRM-11）3台、变压器（型号：S11-M-400）3台、铁架若干】，电缆与铁架数量以现场实际为准，变压器有1台需自行拆卸。</w:t>
      </w:r>
    </w:p>
    <w:p w14:paraId="29A77C4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处置资产位于合肥市包河区太湖路滨投置地珺玺项目。</w:t>
      </w:r>
    </w:p>
    <w:p w14:paraId="650BBE9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处置底价：  价格以现场实际测量为准，单价评估如下 。</w:t>
      </w:r>
    </w:p>
    <w:tbl>
      <w:tblPr>
        <w:tblStyle w:val="29"/>
        <w:tblW w:w="63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800"/>
        <w:gridCol w:w="1160"/>
        <w:gridCol w:w="1845"/>
        <w:gridCol w:w="879"/>
        <w:gridCol w:w="1653"/>
      </w:tblGrid>
      <w:tr w14:paraId="20D10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748" w:type="dxa"/>
            <w:tcBorders>
              <w:top w:val="single" w:color="000000" w:sz="4" w:space="0"/>
              <w:left w:val="single" w:color="000000" w:sz="4" w:space="0"/>
              <w:bottom w:val="single" w:color="000000" w:sz="4" w:space="0"/>
              <w:right w:val="single" w:color="000000" w:sz="4" w:space="0"/>
            </w:tcBorders>
            <w:noWrap w:val="0"/>
            <w:tcMar>
              <w:top w:w="0" w:type="dxa"/>
              <w:left w:w="70" w:type="dxa"/>
              <w:bottom w:w="0" w:type="dxa"/>
              <w:right w:w="70" w:type="dxa"/>
            </w:tcMar>
            <w:vAlign w:val="center"/>
          </w:tcPr>
          <w:p w14:paraId="1513D9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序号</w:t>
            </w:r>
          </w:p>
        </w:tc>
        <w:tc>
          <w:tcPr>
            <w:tcW w:w="1416" w:type="dxa"/>
            <w:tcBorders>
              <w:top w:val="single" w:color="000000" w:sz="4" w:space="0"/>
              <w:left w:val="single" w:color="000000" w:sz="4" w:space="0"/>
              <w:bottom w:val="single" w:color="000000" w:sz="4" w:space="0"/>
              <w:right w:val="single" w:color="000000" w:sz="4" w:space="0"/>
            </w:tcBorders>
            <w:noWrap w:val="0"/>
            <w:tcMar>
              <w:top w:w="0" w:type="dxa"/>
              <w:left w:w="70" w:type="dxa"/>
              <w:bottom w:w="0" w:type="dxa"/>
              <w:right w:w="70" w:type="dxa"/>
            </w:tcMar>
            <w:vAlign w:val="center"/>
          </w:tcPr>
          <w:p w14:paraId="6885892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名称</w:t>
            </w:r>
          </w:p>
        </w:tc>
        <w:tc>
          <w:tcPr>
            <w:tcW w:w="1309" w:type="dxa"/>
            <w:tcBorders>
              <w:top w:val="single" w:color="000000" w:sz="4" w:space="0"/>
              <w:left w:val="single" w:color="000000" w:sz="4" w:space="0"/>
              <w:bottom w:val="single" w:color="000000" w:sz="4" w:space="0"/>
              <w:right w:val="single" w:color="000000" w:sz="4" w:space="0"/>
            </w:tcBorders>
            <w:noWrap w:val="0"/>
            <w:tcMar>
              <w:top w:w="0" w:type="dxa"/>
              <w:left w:w="70" w:type="dxa"/>
              <w:bottom w:w="0" w:type="dxa"/>
              <w:right w:w="70" w:type="dxa"/>
            </w:tcMar>
            <w:vAlign w:val="center"/>
          </w:tcPr>
          <w:p w14:paraId="1EE4135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规格型号</w:t>
            </w:r>
          </w:p>
        </w:tc>
        <w:tc>
          <w:tcPr>
            <w:tcW w:w="935" w:type="dxa"/>
            <w:tcBorders>
              <w:top w:val="single" w:color="000000" w:sz="4" w:space="0"/>
              <w:left w:val="single" w:color="000000" w:sz="4" w:space="0"/>
              <w:bottom w:val="single" w:color="000000" w:sz="4" w:space="0"/>
              <w:right w:val="single" w:color="000000" w:sz="4" w:space="0"/>
            </w:tcBorders>
            <w:noWrap w:val="0"/>
            <w:tcMar>
              <w:top w:w="0" w:type="dxa"/>
              <w:left w:w="70" w:type="dxa"/>
              <w:bottom w:w="0" w:type="dxa"/>
              <w:right w:w="70" w:type="dxa"/>
            </w:tcMar>
            <w:vAlign w:val="center"/>
          </w:tcPr>
          <w:p w14:paraId="5FA6436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数量</w:t>
            </w:r>
          </w:p>
        </w:tc>
        <w:tc>
          <w:tcPr>
            <w:tcW w:w="1929" w:type="dxa"/>
            <w:tcBorders>
              <w:top w:val="single" w:color="000000" w:sz="4" w:space="0"/>
              <w:left w:val="single" w:color="000000" w:sz="4" w:space="0"/>
              <w:bottom w:val="single" w:color="000000" w:sz="4" w:space="0"/>
              <w:right w:val="single" w:color="000000" w:sz="4" w:space="0"/>
            </w:tcBorders>
            <w:noWrap w:val="0"/>
            <w:tcMar>
              <w:top w:w="0" w:type="dxa"/>
              <w:left w:w="70" w:type="dxa"/>
              <w:bottom w:w="0" w:type="dxa"/>
              <w:right w:w="70" w:type="dxa"/>
            </w:tcMar>
            <w:vAlign w:val="center"/>
          </w:tcPr>
          <w:p w14:paraId="717FB3F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评估单价</w:t>
            </w:r>
          </w:p>
          <w:p w14:paraId="38D24A3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（元/计量单位）</w:t>
            </w:r>
          </w:p>
        </w:tc>
      </w:tr>
      <w:tr w14:paraId="3CD0A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748" w:type="dxa"/>
            <w:tcBorders>
              <w:top w:val="nil"/>
              <w:left w:val="single" w:color="000000" w:sz="4" w:space="0"/>
              <w:bottom w:val="single" w:color="000000" w:sz="4" w:space="0"/>
              <w:right w:val="single" w:color="000000" w:sz="4" w:space="0"/>
            </w:tcBorders>
            <w:noWrap w:val="0"/>
            <w:tcMar>
              <w:top w:w="0" w:type="dxa"/>
              <w:left w:w="70" w:type="dxa"/>
              <w:bottom w:w="0" w:type="dxa"/>
              <w:right w:w="70" w:type="dxa"/>
            </w:tcMar>
            <w:vAlign w:val="top"/>
          </w:tcPr>
          <w:p w14:paraId="036B870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1</w:t>
            </w:r>
          </w:p>
        </w:tc>
        <w:tc>
          <w:tcPr>
            <w:tcW w:w="1416"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661FC52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电缆（废铝）</w:t>
            </w:r>
          </w:p>
        </w:tc>
        <w:tc>
          <w:tcPr>
            <w:tcW w:w="1309"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779631B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1*50</w:t>
            </w:r>
          </w:p>
        </w:tc>
        <w:tc>
          <w:tcPr>
            <w:tcW w:w="935"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4F552DE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w:t>
            </w:r>
          </w:p>
        </w:tc>
        <w:tc>
          <w:tcPr>
            <w:tcW w:w="1929"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3E6F05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17000元/吨</w:t>
            </w:r>
          </w:p>
        </w:tc>
      </w:tr>
      <w:tr w14:paraId="59D41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748" w:type="dxa"/>
            <w:tcBorders>
              <w:top w:val="nil"/>
              <w:left w:val="single" w:color="000000" w:sz="4" w:space="0"/>
              <w:bottom w:val="single" w:color="000000" w:sz="4" w:space="0"/>
              <w:right w:val="single" w:color="000000" w:sz="4" w:space="0"/>
            </w:tcBorders>
            <w:noWrap w:val="0"/>
            <w:tcMar>
              <w:top w:w="0" w:type="dxa"/>
              <w:left w:w="70" w:type="dxa"/>
              <w:bottom w:w="0" w:type="dxa"/>
              <w:right w:w="70" w:type="dxa"/>
            </w:tcMar>
            <w:vAlign w:val="top"/>
          </w:tcPr>
          <w:p w14:paraId="4CB5F16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w:t>
            </w:r>
          </w:p>
        </w:tc>
        <w:tc>
          <w:tcPr>
            <w:tcW w:w="1416"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01278D6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配电箱（废铁）</w:t>
            </w:r>
          </w:p>
        </w:tc>
        <w:tc>
          <w:tcPr>
            <w:tcW w:w="1309"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386923C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JP柜</w:t>
            </w:r>
          </w:p>
        </w:tc>
        <w:tc>
          <w:tcPr>
            <w:tcW w:w="935"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7DF2C35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3台</w:t>
            </w:r>
          </w:p>
        </w:tc>
        <w:tc>
          <w:tcPr>
            <w:tcW w:w="1929"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0D94FDE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300元/台</w:t>
            </w:r>
          </w:p>
        </w:tc>
      </w:tr>
      <w:tr w14:paraId="7CFC3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748" w:type="dxa"/>
            <w:tcBorders>
              <w:top w:val="nil"/>
              <w:left w:val="single" w:color="000000" w:sz="4" w:space="0"/>
              <w:bottom w:val="single" w:color="000000" w:sz="4" w:space="0"/>
              <w:right w:val="single" w:color="000000" w:sz="4" w:space="0"/>
            </w:tcBorders>
            <w:noWrap w:val="0"/>
            <w:tcMar>
              <w:top w:w="0" w:type="dxa"/>
              <w:left w:w="70" w:type="dxa"/>
              <w:bottom w:w="0" w:type="dxa"/>
              <w:right w:w="70" w:type="dxa"/>
            </w:tcMar>
            <w:vAlign w:val="top"/>
          </w:tcPr>
          <w:p w14:paraId="19A2516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3</w:t>
            </w:r>
          </w:p>
        </w:tc>
        <w:tc>
          <w:tcPr>
            <w:tcW w:w="1416"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4F9E0E3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变压器</w:t>
            </w:r>
          </w:p>
        </w:tc>
        <w:tc>
          <w:tcPr>
            <w:tcW w:w="1309"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066BC7D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S11-M-400</w:t>
            </w:r>
          </w:p>
        </w:tc>
        <w:tc>
          <w:tcPr>
            <w:tcW w:w="935"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4056C9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3台</w:t>
            </w:r>
          </w:p>
        </w:tc>
        <w:tc>
          <w:tcPr>
            <w:tcW w:w="1929" w:type="dxa"/>
            <w:tcBorders>
              <w:top w:val="nil"/>
              <w:left w:val="single" w:color="000000" w:sz="4" w:space="0"/>
              <w:bottom w:val="single" w:color="000000" w:sz="4" w:space="0"/>
              <w:right w:val="single" w:color="000000" w:sz="4" w:space="0"/>
            </w:tcBorders>
            <w:shd w:val="clear" w:color="auto" w:fill="auto"/>
            <w:noWrap w:val="0"/>
            <w:tcMar>
              <w:top w:w="0" w:type="dxa"/>
              <w:left w:w="70" w:type="dxa"/>
              <w:bottom w:w="0" w:type="dxa"/>
              <w:right w:w="70" w:type="dxa"/>
            </w:tcMar>
            <w:vAlign w:val="top"/>
          </w:tcPr>
          <w:p w14:paraId="0AC9DD1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3000元/台</w:t>
            </w:r>
          </w:p>
        </w:tc>
      </w:tr>
    </w:tbl>
    <w:p w14:paraId="29CB9A48">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（三）转让条件</w:t>
      </w:r>
    </w:p>
    <w:p w14:paraId="55EDD9E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1.标的以现状移交，意向受让方应在本公告期截止前现场踏勘转让标的，自行了解标的权属关系和可能涉及的相关法律法规及政策规定，自行承担因政策变化带来的一切后果及责任。凡登记的意向受让方都视同已实地踏勘转让标的，确认了标的范围、数量、重量、成新度和功能情况等，并认可转让资产现状及转让要求，自愿承担因上述原因导致的一切后果和法律责任。</w:t>
      </w:r>
    </w:p>
    <w:p w14:paraId="09C4D8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2.办理资产过户手续过程中发生的相关税费、清运费（包括但不限于拆卸、装运和清场费用）、称重费用等均由受让方承担。</w:t>
      </w:r>
    </w:p>
    <w:p w14:paraId="7264E5B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3.自转让价款全部付清之日起3个工作日内，受让方须将转让标的清理、搬运完毕，委托方将协助受让方办理资产过户、交接手续。</w:t>
      </w:r>
    </w:p>
    <w:p w14:paraId="58359429">
      <w:pPr>
        <w:autoSpaceDE w:val="0"/>
        <w:autoSpaceDN w:val="0"/>
        <w:adjustRightInd w:val="0"/>
        <w:spacing w:after="0" w:line="360" w:lineRule="auto"/>
        <w:ind w:left="0" w:leftChars="0" w:firstLine="420" w:firstLineChars="175"/>
        <w:jc w:val="both"/>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（四）竞价方式：</w:t>
      </w:r>
    </w:p>
    <w:p w14:paraId="0FB5078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1、本项目采取线下询比价方式，价高者得的方式确定成交方。</w:t>
      </w:r>
    </w:p>
    <w:p w14:paraId="60E660C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意向方需要现场踏勘报价，并请于报名截止日前联系现场踏勘负责人（陈工：15155905305），由处置方统一安排具体踏勘时间。报名的意向方都视同已实地踏勘出租标的，确认了标的现状，自愿承担因上述原因导致的一切后果和法律责任。</w:t>
      </w:r>
    </w:p>
    <w:p w14:paraId="6D4AAB79">
      <w:pPr>
        <w:autoSpaceDE w:val="0"/>
        <w:autoSpaceDN w:val="0"/>
        <w:adjustRightInd w:val="0"/>
        <w:spacing w:after="0" w:line="360" w:lineRule="auto"/>
        <w:ind w:left="0" w:leftChars="0" w:firstLine="420" w:firstLineChars="175"/>
        <w:jc w:val="both"/>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（五）价款支付：</w:t>
      </w:r>
    </w:p>
    <w:p w14:paraId="21CB4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成交方应于成交之日起3个工作日内与处置方签订《资产转让合同》，并于《资产转让合同》生效之日起3个工作日内向合肥市包河区城市更新建设有限公司一次性付清全部转让价款。逾期未与处置方签订合同，则视为成交方放弃成交资格。</w:t>
      </w:r>
    </w:p>
    <w:p w14:paraId="1C616F7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汇款账户户名：合肥市包河区城市更新建设有限公司</w:t>
      </w:r>
    </w:p>
    <w:p w14:paraId="08CE23F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汇款账户开户行：农业银行股份有限公司合肥繁华支行</w:t>
      </w:r>
    </w:p>
    <w:p w14:paraId="0FE935D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账号： 12084301040041205</w:t>
      </w:r>
    </w:p>
    <w:p w14:paraId="5D0AF218">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（六）其他注意事项：</w:t>
      </w:r>
    </w:p>
    <w:p w14:paraId="632D869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1、成交方必须将所成交资产在完成价款支付后3日内搬运完毕并清洁现场。</w:t>
      </w:r>
    </w:p>
    <w:p w14:paraId="128FF86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本次处置资产为废旧资产，处置方不提供任何质量方面的担保或保证。成交方在处置过程中，产生的质量、安全和环保等问题，处置方不承担任何责任，由此产生的一切责任及后果由成交方承担。成交方必须按照国家法律要求对废旧设备进行处置，私自违规处置所造成的各类纠纷或事故，成交方负全责。处置（回收）过程中须注意安全，发生的任何事故与处置方无关，由成交方自行承担。</w:t>
      </w:r>
    </w:p>
    <w:p w14:paraId="5F807D5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3、转让标的拆卸、清运、残料处置等工作须按照国家安全生产、环境保护等相关法律、法规执行，服从委托方有关工作时间、人员、物品出入及安全生产等方面的现场监督与管理，并遵守如下规定：①如在拆除过程中遇到特种作业的，须派持有特种作业操作证（如金属焊接切割等专业）的作业人员进行安全操作；②如遇到特殊情况需要由具备相关资质的施工企业进行施工的（如爆破拆除），受让方须委托具有相关资质的单位进行拆除工作，受让方所委托的拆除人员及施工单位的资质证明等相关资料应交给委托方备案存档。③如在对转让标的拆卸、搬运或残余物处置过程中造成人身伤亡、财产损失的，由此产生的一切经济赔偿责任和法律后果均由受让方自行承担。</w:t>
      </w:r>
    </w:p>
    <w:p w14:paraId="270E207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4、请意向方认真阅读本公告，报名完成视同同意所有询价要求。</w:t>
      </w:r>
    </w:p>
    <w:p w14:paraId="6D3E58B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二、投标人资格条件</w:t>
      </w:r>
    </w:p>
    <w:p w14:paraId="7D659EA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 投标人应为中华人民共和国境内法律上和财务上独立的法人或依法登记注册的其他组织，合法运作并独立于招标人。法人下属不具备法人资格的分支机构参与投标的，应提供所属法人针对本项目或覆盖本项目的经营事项的有效授权。</w:t>
      </w:r>
    </w:p>
    <w:p w14:paraId="4B6F505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2. 投标人的法定代表人或负责人为同一人，存在控股、管理关系的不同投标人，不得参加同一标包投标或者未划分标包的同一招标项目投标。</w:t>
      </w:r>
    </w:p>
    <w:p w14:paraId="7577109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3. 投标人具有独立承担民事责任的能力。</w:t>
      </w:r>
    </w:p>
    <w:p w14:paraId="25E2E6D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4. 投标人资质要求：具有有效的营业执照，营业执照经营范围应包含与招标项目相关的业务许可。</w:t>
      </w:r>
    </w:p>
    <w:p w14:paraId="7AA98EC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 本项目不接受联合体投标。</w:t>
      </w:r>
    </w:p>
    <w:p w14:paraId="47433E1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6. </w:t>
      </w:r>
      <w:r>
        <w:rPr>
          <w:rFonts w:hint="eastAsia" w:ascii="微软雅黑" w:hAnsi="微软雅黑" w:eastAsia="微软雅黑" w:cs="微软雅黑"/>
          <w:color w:val="000000"/>
          <w:sz w:val="24"/>
          <w:szCs w:val="24"/>
          <w:highlight w:val="none"/>
          <w:lang w:val="zh-CN"/>
        </w:rPr>
        <w:t>投标人不得存在以下不良信用记录情形：</w:t>
      </w:r>
    </w:p>
    <w:p w14:paraId="6A9DF20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 被责令停产停业，暂扣或者吊销许可证，暂扣或者吊销执照；</w:t>
      </w:r>
    </w:p>
    <w:p w14:paraId="6A0A432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(2) 进入清算程序，或被宣告破产，或其他丧失履约能力的情形；</w:t>
      </w:r>
    </w:p>
    <w:p w14:paraId="781314D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(3) 在国家企业信用信息公示系统（http://www.gsxt.gov.cn/）中被列入严重违法失信企业名 单；</w:t>
      </w:r>
    </w:p>
    <w:p w14:paraId="14E4401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(4) 在“信用中国”网站（http://www.creditchina.gov.cn/）中被列入失信被执行人名单；</w:t>
      </w:r>
    </w:p>
    <w:p w14:paraId="07BC67A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(5) 在“信用中国”网站（http://www.creditchina.gov.cn/）中被列入重大税收违法失信主 体名单；</w:t>
      </w:r>
    </w:p>
    <w:p w14:paraId="2F2B305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三、评标方法</w:t>
      </w:r>
    </w:p>
    <w:p w14:paraId="451FC26B">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20D749C9">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本项目采取线下询比价方式，价高者得的方式确定成交方。</w:t>
      </w:r>
    </w:p>
    <w:p w14:paraId="1D005226">
      <w:pPr>
        <w:numPr>
          <w:ilvl w:val="0"/>
          <w:numId w:val="0"/>
        </w:numPr>
        <w:autoSpaceDE w:val="0"/>
        <w:autoSpaceDN w:val="0"/>
        <w:adjustRightInd w:val="0"/>
        <w:spacing w:after="0" w:line="360" w:lineRule="auto"/>
        <w:ind w:left="440" w:left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若中标人因自身原因无法继续履行合同，其余投标方按报价从高到低依次递补。</w:t>
      </w:r>
    </w:p>
    <w:p w14:paraId="10493E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276C38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附件4：资质证明文件（营业执照等） 、</w:t>
      </w:r>
      <w:r>
        <w:rPr>
          <w:rFonts w:hint="eastAsia" w:ascii="微软雅黑" w:hAnsi="微软雅黑" w:eastAsia="微软雅黑" w:cs="微软雅黑"/>
          <w:color w:val="000000"/>
          <w:sz w:val="24"/>
          <w:szCs w:val="24"/>
          <w:highlight w:val="none"/>
          <w:lang w:val="en-US" w:eastAsia="zh-CN"/>
        </w:rPr>
        <w:t xml:space="preserve">业绩证明文件 </w:t>
      </w:r>
      <w:r>
        <w:rPr>
          <w:rFonts w:hint="eastAsia" w:ascii="微软雅黑" w:hAnsi="微软雅黑" w:eastAsia="微软雅黑" w:cs="微软雅黑"/>
          <w:color w:val="000000"/>
          <w:sz w:val="24"/>
          <w:szCs w:val="24"/>
          <w:highlight w:val="none"/>
          <w:lang w:val="zh-CN"/>
        </w:rPr>
        <w:t>加盖公章；</w:t>
      </w:r>
    </w:p>
    <w:p w14:paraId="354304E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047866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 xml:space="preserve">函 </w:t>
      </w:r>
      <w:r>
        <w:rPr>
          <w:rFonts w:hint="eastAsia" w:ascii="微软雅黑" w:hAnsi="微软雅黑" w:eastAsia="微软雅黑" w:cs="微软雅黑"/>
          <w:color w:val="000000"/>
          <w:sz w:val="24"/>
          <w:szCs w:val="24"/>
          <w:highlight w:val="none"/>
          <w:lang w:val="zh-CN"/>
        </w:rPr>
        <w:t>加盖公章。</w:t>
      </w:r>
    </w:p>
    <w:p w14:paraId="1E330214">
      <w:pPr>
        <w:autoSpaceDE w:val="0"/>
        <w:autoSpaceDN w:val="0"/>
        <w:adjustRightInd w:val="0"/>
        <w:spacing w:after="0" w:line="360" w:lineRule="auto"/>
        <w:ind w:firstLine="480" w:firstLineChars="200"/>
        <w:jc w:val="both"/>
        <w:rPr>
          <w:rFonts w:hint="eastAsia" w:ascii="微软雅黑" w:hAnsi="微软雅黑" w:eastAsia="微软雅黑" w:cs="微软雅黑"/>
          <w:highlight w:val="none"/>
          <w:lang w:val="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2</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 xml:space="preserve">单 </w:t>
      </w:r>
      <w:r>
        <w:rPr>
          <w:rFonts w:hint="eastAsia" w:ascii="微软雅黑" w:hAnsi="微软雅黑" w:eastAsia="微软雅黑" w:cs="微软雅黑"/>
          <w:color w:val="000000"/>
          <w:sz w:val="24"/>
          <w:szCs w:val="24"/>
          <w:highlight w:val="none"/>
          <w:lang w:val="zh-CN"/>
        </w:rPr>
        <w:t>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w:t>
      </w:r>
      <w:r>
        <w:rPr>
          <w:rFonts w:hint="eastAsia" w:ascii="微软雅黑" w:hAnsi="微软雅黑" w:eastAsia="微软雅黑" w:cs="微软雅黑"/>
          <w:color w:val="auto"/>
          <w:sz w:val="24"/>
          <w:szCs w:val="24"/>
          <w:highlight w:val="none"/>
          <w:lang w:val="zh-CN"/>
        </w:rPr>
        <w:t>于</w:t>
      </w:r>
      <w:r>
        <w:rPr>
          <w:rFonts w:hint="eastAsia" w:ascii="微软雅黑" w:hAnsi="微软雅黑" w:eastAsia="微软雅黑" w:cs="微软雅黑"/>
          <w:color w:val="auto"/>
          <w:sz w:val="24"/>
          <w:szCs w:val="24"/>
          <w:highlight w:val="none"/>
          <w:lang w:val="en-US" w:eastAsia="zh-CN"/>
        </w:rPr>
        <w:t>4</w:t>
      </w:r>
      <w:r>
        <w:rPr>
          <w:rFonts w:hint="eastAsia" w:ascii="微软雅黑" w:hAnsi="微软雅黑" w:eastAsia="微软雅黑" w:cs="微软雅黑"/>
          <w:color w:val="auto"/>
          <w:sz w:val="24"/>
          <w:szCs w:val="24"/>
          <w:highlight w:val="none"/>
          <w:lang w:val="zh-CN"/>
        </w:rPr>
        <w:t>月</w:t>
      </w:r>
      <w:r>
        <w:rPr>
          <w:rFonts w:hint="eastAsia" w:ascii="微软雅黑" w:hAnsi="微软雅黑" w:eastAsia="微软雅黑" w:cs="微软雅黑"/>
          <w:color w:val="auto"/>
          <w:sz w:val="24"/>
          <w:szCs w:val="24"/>
          <w:highlight w:val="none"/>
          <w:lang w:val="en-US" w:eastAsia="zh-CN"/>
        </w:rPr>
        <w:t>17</w:t>
      </w:r>
      <w:r>
        <w:rPr>
          <w:rFonts w:hint="eastAsia" w:ascii="微软雅黑" w:hAnsi="微软雅黑" w:eastAsia="微软雅黑" w:cs="微软雅黑"/>
          <w:color w:val="auto"/>
          <w:sz w:val="24"/>
          <w:szCs w:val="24"/>
          <w:highlight w:val="none"/>
          <w:lang w:val="zh-CN"/>
        </w:rPr>
        <w:t>日</w:t>
      </w:r>
      <w:r>
        <w:rPr>
          <w:rFonts w:hint="eastAsia" w:ascii="微软雅黑" w:hAnsi="微软雅黑" w:eastAsia="微软雅黑" w:cs="微软雅黑"/>
          <w:color w:val="auto"/>
          <w:sz w:val="24"/>
          <w:szCs w:val="24"/>
          <w:highlight w:val="none"/>
          <w:lang w:val="en-US" w:eastAsia="zh-CN"/>
        </w:rPr>
        <w:t>15</w:t>
      </w:r>
      <w:r>
        <w:rPr>
          <w:rFonts w:hint="eastAsia" w:ascii="微软雅黑" w:hAnsi="微软雅黑" w:eastAsia="微软雅黑" w:cs="微软雅黑"/>
          <w:color w:val="auto"/>
          <w:sz w:val="24"/>
          <w:szCs w:val="24"/>
          <w:highlight w:val="none"/>
          <w:lang w:val="zh-CN"/>
        </w:rPr>
        <w:t>时前</w:t>
      </w:r>
      <w:r>
        <w:rPr>
          <w:rFonts w:hint="eastAsia" w:ascii="微软雅黑" w:hAnsi="微软雅黑" w:eastAsia="微软雅黑" w:cs="微软雅黑"/>
          <w:color w:val="auto"/>
          <w:sz w:val="24"/>
          <w:szCs w:val="24"/>
          <w:highlight w:val="none"/>
          <w:lang w:val="zh-CN"/>
        </w:rPr>
        <w:t>送至合肥市</w:t>
      </w:r>
      <w:r>
        <w:rPr>
          <w:rFonts w:hint="eastAsia" w:ascii="微软雅黑" w:hAnsi="微软雅黑" w:eastAsia="微软雅黑" w:cs="微软雅黑"/>
          <w:color w:val="000000"/>
          <w:sz w:val="24"/>
          <w:szCs w:val="24"/>
          <w:highlight w:val="none"/>
          <w:lang w:val="zh-CN"/>
        </w:rPr>
        <w:t>包河区城市更新建设有限公司，地址：合肥市包河区徽州大道1388号</w:t>
      </w:r>
      <w:r>
        <w:rPr>
          <w:rFonts w:hint="eastAsia" w:ascii="微软雅黑" w:hAnsi="微软雅黑" w:eastAsia="微软雅黑" w:cs="微软雅黑"/>
          <w:color w:val="000000"/>
          <w:sz w:val="24"/>
          <w:szCs w:val="24"/>
          <w:highlight w:val="none"/>
          <w:lang w:val="en-US" w:eastAsia="zh-CN"/>
        </w:rPr>
        <w:t>506</w:t>
      </w:r>
      <w:r>
        <w:rPr>
          <w:rFonts w:hint="eastAsia" w:ascii="微软雅黑" w:hAnsi="微软雅黑" w:eastAsia="微软雅黑" w:cs="微软雅黑"/>
          <w:color w:val="000000"/>
          <w:sz w:val="24"/>
          <w:szCs w:val="24"/>
          <w:highlight w:val="none"/>
          <w:lang w:val="zh-CN"/>
        </w:rPr>
        <w:t>。</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1B1956A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陈工</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r>
        <w:rPr>
          <w:rFonts w:hint="eastAsia" w:ascii="微软雅黑" w:hAnsi="微软雅黑" w:eastAsia="微软雅黑" w:cs="微软雅黑"/>
          <w:color w:val="000000"/>
          <w:sz w:val="24"/>
          <w:szCs w:val="24"/>
          <w:highlight w:val="none"/>
          <w:lang w:val="zh-CN"/>
        </w:rPr>
        <w:t>报名热线：</w:t>
      </w:r>
      <w:r>
        <w:rPr>
          <w:rFonts w:hint="eastAsia" w:ascii="微软雅黑" w:hAnsi="微软雅黑" w:eastAsia="微软雅黑" w:cs="微软雅黑"/>
          <w:color w:val="000000"/>
          <w:sz w:val="24"/>
          <w:szCs w:val="24"/>
          <w:highlight w:val="none"/>
          <w:lang w:val="zh-CN" w:eastAsia="zh-CN"/>
        </w:rPr>
        <w:t>15155905305</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联系地址：合肥市包河区徽州大道1388号</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楼</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49A507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五、招标日程表</w:t>
      </w:r>
    </w:p>
    <w:tbl>
      <w:tblPr>
        <w:tblStyle w:val="29"/>
        <w:tblW w:w="49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2028"/>
        <w:gridCol w:w="3512"/>
        <w:gridCol w:w="3540"/>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93" w:type="pct"/>
            <w:vAlign w:val="center"/>
          </w:tcPr>
          <w:p w14:paraId="470A977C">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1028" w:type="pct"/>
            <w:vAlign w:val="center"/>
          </w:tcPr>
          <w:p w14:paraId="448F9700">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781" w:type="pct"/>
            <w:vAlign w:val="center"/>
          </w:tcPr>
          <w:p w14:paraId="056AFC71">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796" w:type="pct"/>
            <w:vAlign w:val="center"/>
          </w:tcPr>
          <w:p w14:paraId="2320B409">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93" w:type="pct"/>
            <w:vAlign w:val="center"/>
          </w:tcPr>
          <w:p w14:paraId="6449F5F8">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1028" w:type="pct"/>
            <w:vAlign w:val="center"/>
          </w:tcPr>
          <w:p w14:paraId="5EEF0DAC">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781" w:type="pct"/>
            <w:shd w:val="clear" w:color="auto" w:fill="auto"/>
            <w:vAlign w:val="center"/>
          </w:tcPr>
          <w:p w14:paraId="2E36E9F7">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yellow"/>
                <w:lang w:val="en-US" w:eastAsia="zh-CN" w:bidi="ar-SA"/>
              </w:rPr>
            </w:pPr>
            <w:r>
              <w:rPr>
                <w:rFonts w:hint="eastAsia" w:ascii="微软雅黑" w:hAnsi="微软雅黑" w:eastAsia="微软雅黑" w:cs="微软雅黑"/>
                <w:sz w:val="24"/>
                <w:szCs w:val="24"/>
                <w:highlight w:val="yellow"/>
              </w:rPr>
              <w:t>202</w:t>
            </w:r>
            <w:r>
              <w:rPr>
                <w:rFonts w:hint="eastAsia" w:ascii="微软雅黑" w:hAnsi="微软雅黑" w:eastAsia="微软雅黑" w:cs="微软雅黑"/>
                <w:sz w:val="24"/>
                <w:szCs w:val="24"/>
                <w:highlight w:val="yellow"/>
                <w:lang w:val="en-US" w:eastAsia="zh-CN"/>
              </w:rPr>
              <w:t>6</w:t>
            </w:r>
            <w:r>
              <w:rPr>
                <w:rFonts w:hint="eastAsia" w:ascii="微软雅黑" w:hAnsi="微软雅黑" w:eastAsia="微软雅黑" w:cs="微软雅黑"/>
                <w:sz w:val="24"/>
                <w:szCs w:val="24"/>
                <w:highlight w:val="yellow"/>
              </w:rPr>
              <w:t>年</w:t>
            </w:r>
            <w:r>
              <w:rPr>
                <w:rFonts w:hint="eastAsia" w:ascii="微软雅黑" w:hAnsi="微软雅黑" w:eastAsia="微软雅黑" w:cs="微软雅黑"/>
                <w:sz w:val="24"/>
                <w:szCs w:val="24"/>
                <w:highlight w:val="yellow"/>
                <w:lang w:val="en-US" w:eastAsia="zh-CN"/>
              </w:rPr>
              <w:t>4</w:t>
            </w:r>
            <w:r>
              <w:rPr>
                <w:rFonts w:hint="eastAsia" w:ascii="微软雅黑" w:hAnsi="微软雅黑" w:eastAsia="微软雅黑" w:cs="微软雅黑"/>
                <w:sz w:val="24"/>
                <w:szCs w:val="24"/>
                <w:highlight w:val="yellow"/>
              </w:rPr>
              <w:t>月</w:t>
            </w:r>
            <w:r>
              <w:rPr>
                <w:rFonts w:hint="eastAsia" w:ascii="微软雅黑" w:hAnsi="微软雅黑" w:eastAsia="微软雅黑" w:cs="微软雅黑"/>
                <w:sz w:val="24"/>
                <w:szCs w:val="24"/>
                <w:highlight w:val="yellow"/>
                <w:lang w:val="en-US" w:eastAsia="zh-CN"/>
              </w:rPr>
              <w:t>15</w:t>
            </w:r>
            <w:r>
              <w:rPr>
                <w:rFonts w:hint="eastAsia" w:ascii="微软雅黑" w:hAnsi="微软雅黑" w:eastAsia="微软雅黑" w:cs="微软雅黑"/>
                <w:sz w:val="24"/>
                <w:szCs w:val="24"/>
                <w:highlight w:val="yellow"/>
              </w:rPr>
              <w:t>日</w:t>
            </w:r>
          </w:p>
        </w:tc>
        <w:tc>
          <w:tcPr>
            <w:tcW w:w="1796" w:type="pct"/>
            <w:vAlign w:val="center"/>
          </w:tcPr>
          <w:p w14:paraId="1E5AB470">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93" w:type="pct"/>
            <w:vAlign w:val="center"/>
          </w:tcPr>
          <w:p w14:paraId="3457D10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1028" w:type="pct"/>
            <w:vAlign w:val="center"/>
          </w:tcPr>
          <w:p w14:paraId="316CF1C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781" w:type="pct"/>
            <w:shd w:val="clear" w:color="auto" w:fill="auto"/>
            <w:vAlign w:val="center"/>
          </w:tcPr>
          <w:p w14:paraId="0F903BD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yellow"/>
                <w:lang w:val="en-US" w:eastAsia="zh-CN" w:bidi="ar-SA"/>
              </w:rPr>
            </w:pPr>
            <w:r>
              <w:rPr>
                <w:rFonts w:hint="eastAsia" w:ascii="微软雅黑" w:hAnsi="微软雅黑" w:eastAsia="微软雅黑" w:cs="微软雅黑"/>
                <w:sz w:val="24"/>
                <w:szCs w:val="24"/>
                <w:highlight w:val="yellow"/>
              </w:rPr>
              <w:t>截至202</w:t>
            </w:r>
            <w:r>
              <w:rPr>
                <w:rFonts w:hint="eastAsia" w:ascii="微软雅黑" w:hAnsi="微软雅黑" w:eastAsia="微软雅黑" w:cs="微软雅黑"/>
                <w:sz w:val="24"/>
                <w:szCs w:val="24"/>
                <w:highlight w:val="yellow"/>
                <w:lang w:val="en-US" w:eastAsia="zh-CN"/>
              </w:rPr>
              <w:t>6</w:t>
            </w:r>
            <w:r>
              <w:rPr>
                <w:rFonts w:hint="eastAsia" w:ascii="微软雅黑" w:hAnsi="微软雅黑" w:eastAsia="微软雅黑" w:cs="微软雅黑"/>
                <w:sz w:val="24"/>
                <w:szCs w:val="24"/>
                <w:highlight w:val="yellow"/>
              </w:rPr>
              <w:t>年</w:t>
            </w:r>
            <w:r>
              <w:rPr>
                <w:rFonts w:hint="eastAsia" w:ascii="微软雅黑" w:hAnsi="微软雅黑" w:eastAsia="微软雅黑" w:cs="微软雅黑"/>
                <w:sz w:val="24"/>
                <w:szCs w:val="24"/>
                <w:highlight w:val="yellow"/>
                <w:lang w:val="en-US" w:eastAsia="zh-CN"/>
              </w:rPr>
              <w:t>4</w:t>
            </w:r>
            <w:r>
              <w:rPr>
                <w:rFonts w:hint="eastAsia" w:ascii="微软雅黑" w:hAnsi="微软雅黑" w:eastAsia="微软雅黑" w:cs="微软雅黑"/>
                <w:sz w:val="24"/>
                <w:szCs w:val="24"/>
                <w:highlight w:val="yellow"/>
              </w:rPr>
              <w:t>月</w:t>
            </w:r>
            <w:r>
              <w:rPr>
                <w:rFonts w:hint="eastAsia" w:ascii="微软雅黑" w:hAnsi="微软雅黑" w:eastAsia="微软雅黑" w:cs="微软雅黑"/>
                <w:sz w:val="24"/>
                <w:szCs w:val="24"/>
                <w:highlight w:val="yellow"/>
                <w:lang w:val="en-US" w:eastAsia="zh-CN"/>
              </w:rPr>
              <w:t>17</w:t>
            </w:r>
            <w:r>
              <w:rPr>
                <w:rFonts w:hint="eastAsia" w:ascii="微软雅黑" w:hAnsi="微软雅黑" w:eastAsia="微软雅黑" w:cs="微软雅黑"/>
                <w:sz w:val="24"/>
                <w:szCs w:val="24"/>
                <w:highlight w:val="yellow"/>
              </w:rPr>
              <w:t>日</w:t>
            </w:r>
            <w:r>
              <w:rPr>
                <w:rFonts w:hint="eastAsia" w:ascii="微软雅黑" w:hAnsi="微软雅黑" w:eastAsia="微软雅黑" w:cs="微软雅黑"/>
                <w:sz w:val="24"/>
                <w:szCs w:val="24"/>
                <w:highlight w:val="yellow"/>
                <w:lang w:val="en-US" w:eastAsia="zh-CN"/>
              </w:rPr>
              <w:t>15</w:t>
            </w:r>
            <w:r>
              <w:rPr>
                <w:rFonts w:hint="eastAsia" w:ascii="微软雅黑" w:hAnsi="微软雅黑" w:eastAsia="微软雅黑" w:cs="微软雅黑"/>
                <w:sz w:val="24"/>
                <w:szCs w:val="24"/>
                <w:highlight w:val="yellow"/>
              </w:rPr>
              <w:t>时</w:t>
            </w:r>
          </w:p>
        </w:tc>
        <w:tc>
          <w:tcPr>
            <w:tcW w:w="1796" w:type="pct"/>
            <w:vAlign w:val="center"/>
          </w:tcPr>
          <w:p w14:paraId="052A44E4">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93" w:type="pct"/>
            <w:vAlign w:val="center"/>
          </w:tcPr>
          <w:p w14:paraId="1007E191">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1028" w:type="pct"/>
            <w:vAlign w:val="center"/>
          </w:tcPr>
          <w:p w14:paraId="3B29318A">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781" w:type="pct"/>
            <w:shd w:val="clear" w:color="auto" w:fill="auto"/>
            <w:vAlign w:val="center"/>
          </w:tcPr>
          <w:p w14:paraId="3CF1F0CA">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yellow"/>
                <w:lang w:val="en-US" w:eastAsia="zh-CN" w:bidi="ar-SA"/>
              </w:rPr>
            </w:pPr>
            <w:r>
              <w:rPr>
                <w:rFonts w:hint="eastAsia" w:ascii="微软雅黑" w:hAnsi="微软雅黑" w:eastAsia="微软雅黑" w:cs="微软雅黑"/>
                <w:sz w:val="24"/>
                <w:szCs w:val="24"/>
                <w:highlight w:val="yellow"/>
              </w:rPr>
              <w:t>202</w:t>
            </w:r>
            <w:r>
              <w:rPr>
                <w:rFonts w:hint="eastAsia" w:ascii="微软雅黑" w:hAnsi="微软雅黑" w:eastAsia="微软雅黑" w:cs="微软雅黑"/>
                <w:sz w:val="24"/>
                <w:szCs w:val="24"/>
                <w:highlight w:val="yellow"/>
                <w:lang w:val="en-US" w:eastAsia="zh-CN"/>
              </w:rPr>
              <w:t>6</w:t>
            </w:r>
            <w:r>
              <w:rPr>
                <w:rFonts w:hint="eastAsia" w:ascii="微软雅黑" w:hAnsi="微软雅黑" w:eastAsia="微软雅黑" w:cs="微软雅黑"/>
                <w:sz w:val="24"/>
                <w:szCs w:val="24"/>
                <w:highlight w:val="yellow"/>
              </w:rPr>
              <w:t>年</w:t>
            </w:r>
            <w:r>
              <w:rPr>
                <w:rFonts w:hint="eastAsia" w:ascii="微软雅黑" w:hAnsi="微软雅黑" w:eastAsia="微软雅黑" w:cs="微软雅黑"/>
                <w:sz w:val="24"/>
                <w:szCs w:val="24"/>
                <w:highlight w:val="yellow"/>
                <w:lang w:val="en-US" w:eastAsia="zh-CN"/>
              </w:rPr>
              <w:t>4</w:t>
            </w:r>
            <w:r>
              <w:rPr>
                <w:rFonts w:hint="eastAsia" w:ascii="微软雅黑" w:hAnsi="微软雅黑" w:eastAsia="微软雅黑" w:cs="微软雅黑"/>
                <w:sz w:val="24"/>
                <w:szCs w:val="24"/>
                <w:highlight w:val="yellow"/>
              </w:rPr>
              <w:t>月</w:t>
            </w:r>
            <w:r>
              <w:rPr>
                <w:rFonts w:hint="eastAsia" w:ascii="微软雅黑" w:hAnsi="微软雅黑" w:eastAsia="微软雅黑" w:cs="微软雅黑"/>
                <w:sz w:val="24"/>
                <w:szCs w:val="24"/>
                <w:highlight w:val="yellow"/>
                <w:lang w:val="en-US" w:eastAsia="zh-CN"/>
              </w:rPr>
              <w:t>17</w:t>
            </w:r>
            <w:r>
              <w:rPr>
                <w:rFonts w:hint="eastAsia" w:ascii="微软雅黑" w:hAnsi="微软雅黑" w:eastAsia="微软雅黑" w:cs="微软雅黑"/>
                <w:sz w:val="24"/>
                <w:szCs w:val="24"/>
                <w:highlight w:val="yellow"/>
              </w:rPr>
              <w:t>日</w:t>
            </w:r>
            <w:r>
              <w:rPr>
                <w:rFonts w:hint="eastAsia" w:ascii="微软雅黑" w:hAnsi="微软雅黑" w:eastAsia="微软雅黑" w:cs="微软雅黑"/>
                <w:sz w:val="24"/>
                <w:szCs w:val="24"/>
                <w:highlight w:val="yellow"/>
                <w:lang w:val="en-US" w:eastAsia="zh-CN"/>
              </w:rPr>
              <w:t>15</w:t>
            </w:r>
            <w:r>
              <w:rPr>
                <w:rFonts w:hint="eastAsia" w:ascii="微软雅黑" w:hAnsi="微软雅黑" w:eastAsia="微软雅黑" w:cs="微软雅黑"/>
                <w:sz w:val="24"/>
                <w:szCs w:val="24"/>
                <w:highlight w:val="yellow"/>
              </w:rPr>
              <w:t>时</w:t>
            </w:r>
          </w:p>
        </w:tc>
        <w:tc>
          <w:tcPr>
            <w:tcW w:w="1796" w:type="pct"/>
            <w:vAlign w:val="center"/>
          </w:tcPr>
          <w:p w14:paraId="13869334">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5</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开标室</w:t>
            </w:r>
            <w:r>
              <w:rPr>
                <w:rFonts w:hint="eastAsia" w:ascii="微软雅黑" w:hAnsi="微软雅黑" w:eastAsia="微软雅黑" w:cs="微软雅黑"/>
                <w:sz w:val="24"/>
                <w:szCs w:val="24"/>
                <w:highlight w:val="none"/>
              </w:rPr>
              <w:t>（暂定）</w:t>
            </w:r>
          </w:p>
        </w:tc>
      </w:tr>
    </w:tbl>
    <w:p w14:paraId="12D083DE">
      <w:pPr>
        <w:rPr>
          <w:rFonts w:hint="eastAsia" w:ascii="微软雅黑" w:hAnsi="微软雅黑" w:eastAsia="微软雅黑" w:cs="微软雅黑"/>
          <w:sz w:val="22"/>
          <w:highlight w:val="none"/>
        </w:rPr>
      </w:pPr>
      <w:r>
        <w:rPr>
          <w:rFonts w:hint="eastAsia" w:ascii="微软雅黑" w:hAnsi="微软雅黑" w:eastAsia="微软雅黑" w:cs="微软雅黑"/>
          <w:sz w:val="22"/>
          <w:highlight w:val="none"/>
        </w:rPr>
        <w:br w:type="page"/>
      </w:r>
      <w:bookmarkStart w:id="32" w:name="_GoBack"/>
      <w:bookmarkEnd w:id="32"/>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bookmarkStart w:id="7" w:name="_Toc273602342"/>
      <w:bookmarkStart w:id="8" w:name="_Toc39733479"/>
      <w:bookmarkStart w:id="9" w:name="_Toc245092762"/>
      <w:bookmarkStart w:id="10" w:name="_Toc22397"/>
      <w:r>
        <w:rPr>
          <w:rFonts w:hint="eastAsia" w:ascii="微软雅黑" w:hAnsi="微软雅黑" w:eastAsia="微软雅黑" w:cs="微软雅黑"/>
          <w:b/>
          <w:bCs/>
          <w:color w:val="000000"/>
          <w:sz w:val="36"/>
          <w:szCs w:val="36"/>
          <w:highlight w:val="none"/>
        </w:rPr>
        <w:t>第</w:t>
      </w:r>
      <w:bookmarkStart w:id="11" w:name="_Hlt240110027"/>
      <w:bookmarkEnd w:id="11"/>
      <w:r>
        <w:rPr>
          <w:rFonts w:hint="eastAsia" w:ascii="微软雅黑" w:hAnsi="微软雅黑" w:eastAsia="微软雅黑" w:cs="微软雅黑"/>
          <w:b/>
          <w:bCs/>
          <w:color w:val="000000"/>
          <w:sz w:val="36"/>
          <w:szCs w:val="36"/>
          <w:highlight w:val="none"/>
        </w:rPr>
        <w:t>二章 评标办法</w:t>
      </w:r>
      <w:bookmarkEnd w:id="7"/>
      <w:bookmarkEnd w:id="8"/>
      <w:bookmarkEnd w:id="9"/>
      <w:bookmarkEnd w:id="10"/>
    </w:p>
    <w:p w14:paraId="22C10717">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28"/>
          <w:szCs w:val="28"/>
          <w:highlight w:val="none"/>
        </w:rPr>
      </w:pPr>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合肥市包河区城市更新项目废旧变压器、电缆等设施设备处置”项目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w:t>
      </w:r>
      <w:r>
        <w:rPr>
          <w:rFonts w:hint="eastAsia" w:ascii="微软雅黑" w:hAnsi="微软雅黑" w:eastAsia="微软雅黑" w:cs="微软雅黑"/>
          <w:color w:val="000000"/>
          <w:sz w:val="24"/>
          <w:szCs w:val="24"/>
          <w:highlight w:val="none"/>
          <w:lang w:val="en-US" w:eastAsia="zh-CN"/>
        </w:rPr>
        <w:t>以</w:t>
      </w:r>
      <w:r>
        <w:rPr>
          <w:rFonts w:hint="eastAsia" w:ascii="微软雅黑" w:hAnsi="微软雅黑" w:eastAsia="微软雅黑" w:cs="微软雅黑"/>
          <w:color w:val="000000"/>
          <w:sz w:val="24"/>
          <w:szCs w:val="24"/>
          <w:highlight w:val="none"/>
          <w:lang w:val="zh-CN"/>
        </w:rPr>
        <w:t>最</w:t>
      </w:r>
      <w:r>
        <w:rPr>
          <w:rFonts w:hint="eastAsia" w:ascii="微软雅黑" w:hAnsi="微软雅黑" w:eastAsia="微软雅黑" w:cs="微软雅黑"/>
          <w:color w:val="000000"/>
          <w:sz w:val="24"/>
          <w:szCs w:val="24"/>
          <w:highlight w:val="none"/>
          <w:lang w:val="en-US" w:eastAsia="zh-CN"/>
        </w:rPr>
        <w:t>高</w:t>
      </w:r>
      <w:r>
        <w:rPr>
          <w:rFonts w:hint="eastAsia" w:ascii="微软雅黑" w:hAnsi="微软雅黑" w:eastAsia="微软雅黑" w:cs="微软雅黑"/>
          <w:color w:val="000000"/>
          <w:sz w:val="24"/>
          <w:szCs w:val="24"/>
          <w:highlight w:val="none"/>
          <w:lang w:val="zh-CN"/>
        </w:rPr>
        <w:t>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3333DA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08A0251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17F3EEC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本项目采用统一、低价评标法进行评审，评标委员会将依据报价表单进行评审。</w:t>
      </w:r>
      <w:bookmarkStart w:id="12" w:name="_Toc245028818"/>
      <w:bookmarkStart w:id="13" w:name="_Toc39733482"/>
      <w:bookmarkStart w:id="14" w:name="_Toc273602352"/>
      <w:bookmarkStart w:id="15" w:name="_Toc2829"/>
      <w:bookmarkStart w:id="16" w:name="_Toc245714170"/>
      <w:r>
        <w:rPr>
          <w:rFonts w:hint="eastAsia" w:ascii="微软雅黑" w:hAnsi="微软雅黑" w:eastAsia="微软雅黑" w:cs="微软雅黑"/>
          <w:color w:val="000000"/>
          <w:sz w:val="24"/>
          <w:szCs w:val="24"/>
          <w:highlight w:val="none"/>
          <w:lang w:val="en-US" w:eastAsia="zh-CN"/>
        </w:rPr>
        <w:t>由低到高进行排序，最低价者中标。</w:t>
      </w:r>
      <w:r>
        <w:rPr>
          <w:rFonts w:hint="eastAsia" w:ascii="微软雅黑" w:hAnsi="微软雅黑" w:eastAsia="微软雅黑" w:cs="微软雅黑"/>
          <w:color w:val="000000"/>
          <w:sz w:val="24"/>
          <w:szCs w:val="24"/>
          <w:highlight w:val="none"/>
          <w:lang w:val="zh-CN"/>
        </w:rPr>
        <w:t>若CPM单价相同，则优先选择承诺</w:t>
      </w:r>
      <w:r>
        <w:rPr>
          <w:rFonts w:hint="eastAsia" w:ascii="微软雅黑" w:hAnsi="微软雅黑" w:eastAsia="微软雅黑" w:cs="微软雅黑"/>
          <w:color w:val="000000"/>
          <w:sz w:val="24"/>
          <w:szCs w:val="24"/>
          <w:highlight w:val="none"/>
          <w:lang w:val="en-US" w:eastAsia="zh-CN"/>
        </w:rPr>
        <w:t>线索获取</w:t>
      </w:r>
      <w:r>
        <w:rPr>
          <w:rFonts w:hint="eastAsia" w:ascii="微软雅黑" w:hAnsi="微软雅黑" w:eastAsia="微软雅黑" w:cs="微软雅黑"/>
          <w:color w:val="000000"/>
          <w:sz w:val="24"/>
          <w:szCs w:val="24"/>
          <w:highlight w:val="none"/>
          <w:lang w:val="zh-CN"/>
        </w:rPr>
        <w:t>量更高的投标人。</w:t>
      </w:r>
    </w:p>
    <w:p w14:paraId="31FAD1E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若中标人因自身原因无法继续履行合同，其余投标方按报价从低到高依次递补。</w:t>
      </w:r>
    </w:p>
    <w:p w14:paraId="6462951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05E8E33C">
      <w:pPr>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7" w:name="_Toc273602355"/>
      <w:bookmarkStart w:id="18" w:name="_Toc245714173"/>
      <w:bookmarkStart w:id="19" w:name="_Toc20758"/>
      <w:bookmarkStart w:id="20" w:name="_Toc3973348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一、投标函</w:t>
      </w:r>
      <w:bookmarkEnd w:id="17"/>
      <w:bookmarkEnd w:id="18"/>
      <w:bookmarkEnd w:id="19"/>
      <w:bookmarkEnd w:id="20"/>
    </w:p>
    <w:p w14:paraId="2B0CB663">
      <w:pPr>
        <w:pStyle w:val="19"/>
        <w:spacing w:line="360" w:lineRule="auto"/>
        <w:rPr>
          <w:rFonts w:hint="eastAsia" w:ascii="微软雅黑" w:hAnsi="微软雅黑" w:eastAsia="微软雅黑" w:cs="微软雅黑"/>
          <w:sz w:val="21"/>
          <w:highlight w:val="none"/>
        </w:rPr>
      </w:pPr>
      <w:r>
        <w:rPr>
          <w:rFonts w:hint="eastAsia" w:ascii="微软雅黑" w:hAnsi="微软雅黑" w:eastAsia="微软雅黑" w:cs="微软雅黑"/>
          <w:sz w:val="21"/>
          <w:highlight w:val="none"/>
        </w:rPr>
        <w:t>致：合肥市包河区城市更新建设有限公司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u w:val="single"/>
          <w:lang w:eastAsia="zh-CN"/>
        </w:rPr>
        <w:t>合肥市包河区城市更新项目废旧变压器、电缆等设施设备处置</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2"/>
    <w:bookmarkEnd w:id="13"/>
    <w:bookmarkEnd w:id="14"/>
    <w:bookmarkEnd w:id="15"/>
    <w:bookmarkEnd w:id="16"/>
    <w:p w14:paraId="0001BB09">
      <w:pPr>
        <w:pStyle w:val="4"/>
        <w:spacing w:line="360" w:lineRule="auto"/>
        <w:jc w:val="both"/>
        <w:rPr>
          <w:rFonts w:hint="eastAsia" w:ascii="微软雅黑" w:hAnsi="微软雅黑" w:eastAsia="微软雅黑" w:cs="微软雅黑"/>
          <w:sz w:val="22"/>
          <w:szCs w:val="22"/>
          <w:highlight w:val="none"/>
        </w:rPr>
      </w:pPr>
      <w:bookmarkStart w:id="21" w:name="_Toc273602356"/>
      <w:bookmarkStart w:id="22" w:name="_Toc10239"/>
      <w:bookmarkStart w:id="23" w:name="_Toc245714174"/>
      <w:bookmarkStart w:id="24" w:name="_Toc39733484"/>
      <w:bookmarkStart w:id="25" w:name="_Toc220232394"/>
      <w:bookmarkStart w:id="26" w:name="_Toc232592019"/>
      <w:r>
        <w:rPr>
          <w:rFonts w:hint="eastAsia" w:ascii="微软雅黑" w:hAnsi="微软雅黑" w:eastAsia="微软雅黑" w:cs="微软雅黑"/>
          <w:b/>
          <w:sz w:val="22"/>
          <w:szCs w:val="22"/>
          <w:highlight w:val="none"/>
        </w:rPr>
        <w:t>附件二：</w:t>
      </w:r>
    </w:p>
    <w:p w14:paraId="5AA6625E">
      <w:pPr>
        <w:pStyle w:val="4"/>
        <w:numPr>
          <w:ilvl w:val="0"/>
          <w:numId w:val="2"/>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1"/>
      <w:bookmarkEnd w:id="22"/>
      <w:bookmarkEnd w:id="23"/>
      <w:bookmarkEnd w:id="24"/>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（投标人授权代表姓名、职务）代表本公司参加合肥市包河区城市更新建设有限公司</w:t>
      </w:r>
      <w:r>
        <w:rPr>
          <w:rFonts w:hint="eastAsia" w:ascii="微软雅黑" w:hAnsi="微软雅黑" w:eastAsia="微软雅黑" w:cs="微软雅黑"/>
          <w:highlight w:val="none"/>
          <w:u w:val="single"/>
          <w:lang w:eastAsia="zh-CN"/>
        </w:rPr>
        <w:t>合肥市包河区城市更新项目废旧变压器、电缆等设施设备处置</w:t>
      </w:r>
      <w:r>
        <w:rPr>
          <w:rFonts w:hint="eastAsia" w:ascii="微软雅黑" w:hAnsi="微软雅黑" w:eastAsia="微软雅黑" w:cs="微软雅黑"/>
          <w:highlight w:val="none"/>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732D5572">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7" w:name="_Toc515390052"/>
      <w:r>
        <w:rPr>
          <w:rFonts w:hint="eastAsia" w:ascii="微软雅黑" w:hAnsi="微软雅黑" w:eastAsia="微软雅黑" w:cs="微软雅黑"/>
          <w:b/>
          <w:kern w:val="2"/>
          <w:sz w:val="22"/>
          <w:szCs w:val="22"/>
          <w:highlight w:val="none"/>
        </w:rPr>
        <w:t>附件三：</w:t>
      </w:r>
    </w:p>
    <w:bookmarkEnd w:id="27"/>
    <w:p w14:paraId="19F58E93">
      <w:pPr>
        <w:pStyle w:val="4"/>
        <w:numPr>
          <w:ilvl w:val="0"/>
          <w:numId w:val="2"/>
        </w:numPr>
        <w:jc w:val="center"/>
        <w:rPr>
          <w:rFonts w:hint="eastAsia" w:ascii="微软雅黑" w:hAnsi="微软雅黑" w:eastAsia="微软雅黑" w:cs="微软雅黑"/>
          <w:b/>
          <w:bCs/>
        </w:rPr>
      </w:pPr>
      <w:r>
        <w:rPr>
          <w:rFonts w:hint="eastAsia" w:ascii="微软雅黑" w:hAnsi="微软雅黑" w:eastAsia="微软雅黑" w:cs="微软雅黑"/>
          <w:b/>
          <w:bCs/>
        </w:rPr>
        <w:t>投标人信用承诺</w:t>
      </w:r>
    </w:p>
    <w:p w14:paraId="5ABF11A2">
      <w:pPr>
        <w:pStyle w:val="18"/>
        <w:snapToGrid w:val="0"/>
        <w:spacing w:line="240" w:lineRule="auto"/>
        <w:ind w:firstLine="420" w:firstLineChars="200"/>
        <w:jc w:val="both"/>
        <w:rPr>
          <w:rFonts w:hint="eastAsia" w:ascii="微软雅黑" w:hAnsi="微软雅黑" w:eastAsia="微软雅黑" w:cs="微软雅黑"/>
          <w:u w:val="single"/>
        </w:rPr>
      </w:pPr>
      <w:r>
        <w:rPr>
          <w:rFonts w:hint="eastAsia" w:ascii="微软雅黑" w:hAnsi="微软雅黑" w:eastAsia="微软雅黑" w:cs="微软雅黑"/>
        </w:rPr>
        <w:t>致：</w:t>
      </w:r>
      <w:r>
        <w:rPr>
          <w:rFonts w:hint="eastAsia" w:ascii="微软雅黑" w:hAnsi="微软雅黑" w:eastAsia="微软雅黑" w:cs="微软雅黑"/>
          <w:u w:val="single"/>
        </w:rPr>
        <w:t xml:space="preserve">                           </w:t>
      </w:r>
    </w:p>
    <w:p w14:paraId="422A41D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本公司</w:t>
      </w:r>
      <w:r>
        <w:rPr>
          <w:rFonts w:hint="eastAsia" w:ascii="微软雅黑" w:hAnsi="微软雅黑" w:eastAsia="微软雅黑" w:cs="微软雅黑"/>
          <w:u w:val="single"/>
        </w:rPr>
        <w:t xml:space="preserve">                         </w:t>
      </w:r>
      <w:r>
        <w:rPr>
          <w:rFonts w:hint="eastAsia" w:ascii="微软雅黑" w:hAnsi="微软雅黑" w:eastAsia="微软雅黑" w:cs="微软雅黑"/>
        </w:rPr>
        <w:t>，现正参与贵方组织的</w:t>
      </w:r>
      <w:r>
        <w:rPr>
          <w:rFonts w:hint="eastAsia" w:ascii="微软雅黑" w:hAnsi="微软雅黑" w:eastAsia="微软雅黑" w:cs="微软雅黑"/>
          <w:u w:val="single"/>
        </w:rPr>
        <w:t xml:space="preserve"> </w:t>
      </w:r>
      <w:r>
        <w:rPr>
          <w:rFonts w:hint="eastAsia" w:ascii="微软雅黑" w:hAnsi="微软雅黑" w:eastAsia="微软雅黑" w:cs="微软雅黑"/>
          <w:highlight w:val="none"/>
          <w:u w:val="single"/>
          <w:lang w:eastAsia="zh-CN"/>
        </w:rPr>
        <w:t>合肥市包河区城市更新项目废旧变压器、电缆等设施设备处置</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的投标活动。我公司郑重承诺如下：</w:t>
      </w:r>
    </w:p>
    <w:p w14:paraId="11E46716">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xml:space="preserve">一、关于投标资格的承诺 </w:t>
      </w:r>
    </w:p>
    <w:p w14:paraId="1CF9E03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我公司保证所提供的所有营业执照、资质证书、业绩证明、人员资质等投标资格文件均真实、合法、有效，无任何伪造、变造、涂改等情形。我们具备完全履行合同所必需的专业技术能力、设备设备和实践经验。</w:t>
      </w:r>
    </w:p>
    <w:p w14:paraId="4463B49D">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二、 关于诚信投标的承诺</w:t>
      </w:r>
    </w:p>
    <w:p w14:paraId="33B6AE9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1. 杜绝围标串标：我司保证独立参与本次投标，绝不与其他投标人相互串通投标报价。</w:t>
      </w:r>
    </w:p>
    <w:p w14:paraId="78BA7178">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2. 杜绝虚假应标：我司承诺投标文件中的所有内容（包括但不限于设计方案构思、团队人员配置、项目业绩、服务周期、技术方案等）均真实可信，无任何虚假和误导性陈述。</w:t>
      </w:r>
    </w:p>
    <w:p w14:paraId="65EC4FDA">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三、 关于质量与服务的承诺</w:t>
      </w:r>
    </w:p>
    <w:p w14:paraId="35F0B6DB">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4F0F6668">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2. 提供优质服务：在项目实施过程中主动沟通，积极配合招标人的合理要求与监督。</w:t>
      </w:r>
    </w:p>
    <w:p w14:paraId="3CBAFB8C">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四、 接受监督与违约自担的承诺 我公司完全理解并接受贵方为本次招标制定的各项规则。若我公司在投标或合同履行过程中违反上述任何承诺，愿无条件承担由此带来的一切法律责任及后果，包括但不限于：</w:t>
      </w:r>
    </w:p>
    <w:p w14:paraId="348E0AA9">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接受贵方取消我方投标与中标资格；</w:t>
      </w:r>
    </w:p>
    <w:p w14:paraId="0404350F">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列入不良信用记录名单，并接受市场准入限制；</w:t>
      </w:r>
    </w:p>
    <w:p w14:paraId="556B6C1A">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特此承诺！</w:t>
      </w:r>
    </w:p>
    <w:p w14:paraId="634887F0">
      <w:pPr>
        <w:pStyle w:val="18"/>
        <w:snapToGrid w:val="0"/>
        <w:spacing w:line="24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 xml:space="preserve">投标人（公章）：             </w:t>
      </w:r>
    </w:p>
    <w:p w14:paraId="3BA7E6C6">
      <w:pPr>
        <w:pStyle w:val="18"/>
        <w:snapToGrid w:val="0"/>
        <w:spacing w:line="36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日  期：      年    月     日</w:t>
      </w:r>
    </w:p>
    <w:p w14:paraId="38077FE3">
      <w:pPr>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br w:type="page"/>
      </w:r>
    </w:p>
    <w:p w14:paraId="348871BA">
      <w:pPr>
        <w:spacing w:line="360" w:lineRule="auto"/>
        <w:jc w:val="center"/>
        <w:rPr>
          <w:rFonts w:hint="eastAsia" w:ascii="微软雅黑" w:hAnsi="微软雅黑" w:eastAsia="微软雅黑" w:cs="微软雅黑"/>
          <w:b/>
          <w:bCs/>
          <w:sz w:val="22"/>
          <w:szCs w:val="22"/>
          <w:highlight w:val="none"/>
        </w:rPr>
      </w:pPr>
    </w:p>
    <w:bookmarkEnd w:id="25"/>
    <w:bookmarkEnd w:id="26"/>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6C1DF9BD">
          <w:pPr>
            <w:spacing w:line="240" w:lineRule="auto"/>
            <w:jc w:val="center"/>
            <w:rPr>
              <w:rFonts w:hint="eastAsia" w:ascii="微软雅黑" w:hAnsi="微软雅黑" w:eastAsia="微软雅黑" w:cs="微软雅黑"/>
              <w:b/>
              <w:bCs/>
              <w:sz w:val="22"/>
              <w:szCs w:val="22"/>
              <w:highlight w:val="none"/>
              <w:lang w:val="zh-CN"/>
            </w:rPr>
          </w:pPr>
        </w:p>
        <w:p w14:paraId="17A107E0">
          <w:pPr>
            <w:spacing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en-US" w:eastAsia="zh-CN"/>
            </w:rPr>
            <w:t>合肥市</w:t>
          </w:r>
          <w:r>
            <w:rPr>
              <w:rFonts w:hint="eastAsia" w:ascii="微软雅黑" w:hAnsi="微软雅黑" w:eastAsia="微软雅黑" w:cs="微软雅黑"/>
              <w:b/>
              <w:bCs/>
              <w:caps/>
              <w:sz w:val="56"/>
              <w:szCs w:val="56"/>
              <w:highlight w:val="none"/>
              <w:lang w:val="en-US" w:eastAsia="zh-CN"/>
            </w:rPr>
            <w:t>包河区</w:t>
          </w:r>
          <w:r>
            <w:rPr>
              <w:rFonts w:hint="eastAsia" w:ascii="微软雅黑" w:hAnsi="微软雅黑" w:eastAsia="微软雅黑" w:cs="微软雅黑"/>
              <w:b/>
              <w:bCs/>
              <w:sz w:val="56"/>
              <w:szCs w:val="56"/>
              <w:highlight w:val="none"/>
            </w:rPr>
            <w:t>城市更新项目</w:t>
          </w:r>
        </w:p>
        <w:p w14:paraId="59D427B8">
          <w:pPr>
            <w:spacing w:line="240" w:lineRule="auto"/>
            <w:jc w:val="center"/>
            <w:rPr>
              <w:rFonts w:hint="eastAsia" w:ascii="微软雅黑" w:hAnsi="微软雅黑" w:eastAsia="微软雅黑" w:cs="微软雅黑"/>
              <w:b/>
              <w:bCs/>
              <w:sz w:val="56"/>
              <w:szCs w:val="56"/>
              <w:highlight w:val="none"/>
            </w:rPr>
          </w:pPr>
          <w:r>
            <w:rPr>
              <w:rFonts w:hint="eastAsia" w:ascii="微软雅黑" w:hAnsi="微软雅黑" w:eastAsia="微软雅黑" w:cs="微软雅黑"/>
              <w:b/>
              <w:bCs/>
              <w:sz w:val="56"/>
              <w:szCs w:val="56"/>
              <w:highlight w:val="none"/>
            </w:rPr>
            <w:t>废旧变压器、电缆等设施设备处置</w:t>
          </w:r>
          <w:r>
            <w:rPr>
              <w:rFonts w:hint="eastAsia" w:ascii="微软雅黑" w:hAnsi="微软雅黑" w:eastAsia="微软雅黑" w:cs="微软雅黑"/>
              <w:sz w:val="144"/>
              <w:szCs w:val="28"/>
              <w:highlight w:val="none"/>
            </w:rPr>
            <w:tab/>
          </w:r>
        </w:p>
        <w:p w14:paraId="0DF912BD">
          <w:pPr>
            <w:adjustRightInd w:val="0"/>
            <w:snapToGrid w:val="0"/>
            <w:spacing w:before="48" w:beforeLines="20" w:after="48" w:afterLines="20" w:line="240" w:lineRule="auto"/>
            <w:jc w:val="center"/>
            <w:rPr>
              <w:rFonts w:hint="eastAsia" w:ascii="微软雅黑" w:hAnsi="微软雅黑" w:eastAsia="微软雅黑" w:cs="微软雅黑"/>
              <w:bCs/>
              <w:sz w:val="24"/>
              <w:szCs w:val="24"/>
              <w:highlight w:val="none"/>
            </w:rPr>
          </w:pP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571F325C">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240" w:lineRule="auto"/>
            <w:jc w:val="center"/>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投标单位：</w:t>
          </w:r>
        </w:p>
        <w:p w14:paraId="20FDE069">
          <w:pPr>
            <w:tabs>
              <w:tab w:val="left" w:pos="420"/>
              <w:tab w:val="left" w:pos="4200"/>
            </w:tabs>
            <w:spacing w:line="24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四</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8" w:name="_Toc240898303"/>
          <w:bookmarkStart w:id="29" w:name="_Toc328559344"/>
          <w:bookmarkStart w:id="30" w:name="_Toc270410845"/>
          <w:bookmarkStart w:id="31" w:name="_Toc273602363"/>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8"/>
      <w:bookmarkEnd w:id="29"/>
      <w:bookmarkEnd w:id="30"/>
      <w:bookmarkEnd w:id="31"/>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         ）的投标</w:t>
      </w:r>
      <w:r>
        <w:rPr>
          <w:rFonts w:hint="eastAsia" w:ascii="微软雅黑" w:hAnsi="微软雅黑" w:eastAsia="微软雅黑" w:cs="微软雅黑"/>
          <w:kern w:val="2"/>
          <w:sz w:val="22"/>
          <w:szCs w:val="22"/>
          <w:highlight w:val="none"/>
          <w:lang w:val="en-US" w:eastAsia="zh-CN"/>
        </w:rPr>
        <w:t>总价</w:t>
      </w:r>
      <w:r>
        <w:rPr>
          <w:rFonts w:hint="eastAsia" w:ascii="微软雅黑" w:hAnsi="微软雅黑" w:eastAsia="微软雅黑" w:cs="微软雅黑"/>
          <w:kern w:val="2"/>
          <w:sz w:val="22"/>
          <w:szCs w:val="22"/>
          <w:highlight w:val="none"/>
        </w:rPr>
        <w:t>，按合同约定实施。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投  标  人：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515BBC6">
      <w:pPr>
        <w:pStyle w:val="28"/>
        <w:widowControl w:val="0"/>
        <w:spacing w:after="0" w:line="360" w:lineRule="auto"/>
        <w:ind w:left="0" w:leftChars="0"/>
        <w:jc w:val="both"/>
        <w:rPr>
          <w:rFonts w:hint="eastAsia" w:ascii="微软雅黑" w:hAnsi="微软雅黑" w:eastAsia="微软雅黑" w:cs="微软雅黑"/>
          <w:b/>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tbl>
      <w:tblPr>
        <w:tblStyle w:val="29"/>
        <w:tblW w:w="100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7"/>
        <w:gridCol w:w="1900"/>
        <w:gridCol w:w="1400"/>
        <w:gridCol w:w="1264"/>
        <w:gridCol w:w="2300"/>
        <w:gridCol w:w="964"/>
        <w:gridCol w:w="1215"/>
      </w:tblGrid>
      <w:tr w14:paraId="005D5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10040" w:type="dxa"/>
            <w:gridSpan w:val="7"/>
            <w:tcBorders>
              <w:top w:val="nil"/>
              <w:left w:val="nil"/>
              <w:bottom w:val="nil"/>
              <w:right w:val="nil"/>
            </w:tcBorders>
            <w:shd w:val="clear" w:color="auto" w:fill="auto"/>
            <w:noWrap/>
            <w:vAlign w:val="center"/>
          </w:tcPr>
          <w:p w14:paraId="18F06D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微软雅黑" w:hAnsi="微软雅黑" w:eastAsia="微软雅黑" w:cs="微软雅黑"/>
                <w:b/>
                <w:bCs/>
                <w:i w:val="0"/>
                <w:iCs w:val="0"/>
                <w:color w:val="000000"/>
                <w:kern w:val="0"/>
                <w:sz w:val="28"/>
                <w:szCs w:val="28"/>
                <w:u w:val="none"/>
              </w:rPr>
            </w:pPr>
            <w:r>
              <w:rPr>
                <w:rFonts w:hint="eastAsia" w:ascii="宋体" w:hAnsi="宋体" w:eastAsia="宋体" w:cs="宋体"/>
                <w:b/>
                <w:bCs/>
                <w:i w:val="0"/>
                <w:iCs w:val="0"/>
                <w:color w:val="000000"/>
                <w:kern w:val="0"/>
                <w:sz w:val="28"/>
                <w:szCs w:val="28"/>
                <w:u w:val="none"/>
                <w:lang w:val="en-US" w:eastAsia="zh-CN" w:bidi="ar"/>
              </w:rPr>
              <w:t>合肥市包河区城市更新项目废旧变压器、电缆等设施设备处置报价单</w:t>
            </w:r>
          </w:p>
        </w:tc>
      </w:tr>
      <w:tr w14:paraId="1230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jc w:val="center"/>
        </w:trPr>
        <w:tc>
          <w:tcPr>
            <w:tcW w:w="100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10F1C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甲方：合肥市包河区城市更新建设有限公司</w:t>
            </w:r>
          </w:p>
        </w:tc>
      </w:tr>
      <w:tr w14:paraId="48D5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jc w:val="center"/>
        </w:trPr>
        <w:tc>
          <w:tcPr>
            <w:tcW w:w="100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18C08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乙方：</w:t>
            </w:r>
          </w:p>
        </w:tc>
      </w:tr>
      <w:tr w14:paraId="0AF2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jc w:val="center"/>
        </w:trPr>
        <w:tc>
          <w:tcPr>
            <w:tcW w:w="1004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F6E15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公司办公地址：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联系人：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联系电话：</w:t>
            </w:r>
          </w:p>
        </w:tc>
      </w:tr>
      <w:tr w14:paraId="0A42D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6" w:hRule="atLeast"/>
          <w:jc w:val="center"/>
        </w:trPr>
        <w:tc>
          <w:tcPr>
            <w:tcW w:w="997" w:type="dxa"/>
            <w:tcBorders>
              <w:top w:val="nil"/>
              <w:left w:val="single" w:color="auto" w:sz="4" w:space="0"/>
              <w:bottom w:val="single" w:color="auto" w:sz="4" w:space="0"/>
              <w:right w:val="single" w:color="auto" w:sz="4" w:space="0"/>
            </w:tcBorders>
            <w:shd w:val="clear" w:color="auto" w:fill="auto"/>
            <w:noWrap/>
            <w:vAlign w:val="center"/>
          </w:tcPr>
          <w:p w14:paraId="39E28C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事项</w:t>
            </w:r>
          </w:p>
        </w:tc>
        <w:tc>
          <w:tcPr>
            <w:tcW w:w="1900" w:type="dxa"/>
            <w:tcBorders>
              <w:top w:val="nil"/>
              <w:left w:val="nil"/>
              <w:bottom w:val="single" w:color="auto" w:sz="4" w:space="0"/>
              <w:right w:val="single" w:color="auto" w:sz="4" w:space="0"/>
            </w:tcBorders>
            <w:shd w:val="clear" w:color="auto" w:fill="auto"/>
            <w:vAlign w:val="center"/>
          </w:tcPr>
          <w:p w14:paraId="71B6F9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报价项</w:t>
            </w:r>
          </w:p>
        </w:tc>
        <w:tc>
          <w:tcPr>
            <w:tcW w:w="1400" w:type="dxa"/>
            <w:tcBorders>
              <w:top w:val="nil"/>
              <w:left w:val="nil"/>
              <w:bottom w:val="single" w:color="auto" w:sz="4" w:space="0"/>
              <w:right w:val="single" w:color="auto" w:sz="4" w:space="0"/>
            </w:tcBorders>
            <w:shd w:val="clear" w:color="auto" w:fill="auto"/>
            <w:vAlign w:val="center"/>
          </w:tcPr>
          <w:p w14:paraId="16DEFB58">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cs="Calibri" w:eastAsiaTheme="minorEastAsia"/>
                <w:b/>
                <w:bCs/>
                <w:sz w:val="24"/>
                <w:szCs w:val="24"/>
                <w:lang w:val="en-US" w:eastAsia="zh-CN" w:bidi="ar-SA"/>
              </w:rPr>
            </w:pPr>
            <w:r>
              <w:rPr>
                <w:rFonts w:hint="eastAsia" w:ascii="宋体" w:hAnsi="宋体" w:eastAsia="宋体" w:cs="宋体"/>
                <w:b/>
                <w:bCs/>
                <w:i w:val="0"/>
                <w:iCs w:val="0"/>
                <w:caps w:val="0"/>
                <w:color w:val="111111"/>
                <w:spacing w:val="0"/>
                <w:sz w:val="24"/>
                <w:szCs w:val="24"/>
                <w:shd w:val="clear" w:color="auto" w:fill="FFFFFF"/>
              </w:rPr>
              <w:t>规格型号</w:t>
            </w:r>
          </w:p>
        </w:tc>
        <w:tc>
          <w:tcPr>
            <w:tcW w:w="1264" w:type="dxa"/>
            <w:tcBorders>
              <w:top w:val="nil"/>
              <w:left w:val="nil"/>
              <w:bottom w:val="single" w:color="auto" w:sz="4" w:space="0"/>
              <w:right w:val="single" w:color="auto" w:sz="4" w:space="0"/>
            </w:tcBorders>
            <w:shd w:val="clear" w:color="auto" w:fill="auto"/>
            <w:vAlign w:val="center"/>
          </w:tcPr>
          <w:p w14:paraId="5AC82B61">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cs="Calibri" w:eastAsiaTheme="minorEastAsia"/>
                <w:b/>
                <w:bCs/>
                <w:sz w:val="24"/>
                <w:szCs w:val="24"/>
                <w:lang w:val="en-US" w:eastAsia="zh-CN" w:bidi="ar-SA"/>
              </w:rPr>
            </w:pPr>
            <w:r>
              <w:rPr>
                <w:rFonts w:hint="eastAsia" w:ascii="宋体" w:hAnsi="宋体" w:eastAsia="宋体" w:cs="宋体"/>
                <w:b/>
                <w:bCs/>
                <w:i w:val="0"/>
                <w:iCs w:val="0"/>
                <w:caps w:val="0"/>
                <w:color w:val="111111"/>
                <w:spacing w:val="0"/>
                <w:sz w:val="24"/>
                <w:szCs w:val="24"/>
                <w:shd w:val="clear" w:color="auto" w:fill="FFFFFF"/>
              </w:rPr>
              <w:t>数量</w:t>
            </w:r>
          </w:p>
        </w:tc>
        <w:tc>
          <w:tcPr>
            <w:tcW w:w="2300" w:type="dxa"/>
            <w:tcBorders>
              <w:top w:val="nil"/>
              <w:left w:val="nil"/>
              <w:bottom w:val="single" w:color="auto" w:sz="4" w:space="0"/>
              <w:right w:val="single" w:color="auto" w:sz="4" w:space="0"/>
            </w:tcBorders>
            <w:shd w:val="clear" w:color="auto" w:fill="auto"/>
            <w:vAlign w:val="center"/>
          </w:tcPr>
          <w:p w14:paraId="2CDC91A4">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jc w:val="center"/>
              <w:rPr>
                <w:rFonts w:hint="default" w:ascii="Calibri" w:hAnsi="Calibri" w:cs="Calibri"/>
                <w:b/>
                <w:bCs/>
                <w:sz w:val="24"/>
                <w:szCs w:val="24"/>
              </w:rPr>
            </w:pPr>
            <w:r>
              <w:rPr>
                <w:rFonts w:hint="eastAsia" w:eastAsia="宋体" w:cs="宋体"/>
                <w:b/>
                <w:bCs/>
                <w:i w:val="0"/>
                <w:iCs w:val="0"/>
                <w:caps w:val="0"/>
                <w:color w:val="111111"/>
                <w:spacing w:val="0"/>
                <w:sz w:val="24"/>
                <w:szCs w:val="24"/>
                <w:shd w:val="clear" w:color="auto" w:fill="FFFFFF"/>
                <w:lang w:val="en-US" w:eastAsia="zh-CN"/>
              </w:rPr>
              <w:t>投标单价</w:t>
            </w:r>
            <w:r>
              <w:rPr>
                <w:rFonts w:hint="eastAsia" w:ascii="宋体" w:hAnsi="宋体" w:eastAsia="宋体" w:cs="宋体"/>
                <w:b/>
                <w:bCs/>
                <w:i w:val="0"/>
                <w:iCs w:val="0"/>
                <w:caps w:val="0"/>
                <w:color w:val="111111"/>
                <w:spacing w:val="0"/>
                <w:sz w:val="24"/>
                <w:szCs w:val="24"/>
                <w:shd w:val="clear" w:color="auto" w:fill="FFFFFF"/>
              </w:rPr>
              <w:t>单价</w:t>
            </w:r>
          </w:p>
          <w:p w14:paraId="5646C7F7">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cs="Calibri" w:eastAsiaTheme="minorEastAsia"/>
                <w:b/>
                <w:bCs/>
                <w:sz w:val="24"/>
                <w:szCs w:val="24"/>
                <w:lang w:val="en-US" w:eastAsia="zh-CN" w:bidi="ar-SA"/>
              </w:rPr>
            </w:pPr>
            <w:r>
              <w:rPr>
                <w:rFonts w:hint="eastAsia" w:ascii="宋体" w:hAnsi="宋体" w:eastAsia="宋体" w:cs="宋体"/>
                <w:b/>
                <w:bCs/>
                <w:i w:val="0"/>
                <w:iCs w:val="0"/>
                <w:caps w:val="0"/>
                <w:color w:val="111111"/>
                <w:spacing w:val="0"/>
                <w:sz w:val="24"/>
                <w:szCs w:val="24"/>
                <w:shd w:val="clear" w:color="auto" w:fill="FFFFFF"/>
              </w:rPr>
              <w:t>（元/计量单位）</w:t>
            </w:r>
          </w:p>
        </w:tc>
        <w:tc>
          <w:tcPr>
            <w:tcW w:w="964" w:type="dxa"/>
            <w:tcBorders>
              <w:top w:val="nil"/>
              <w:left w:val="nil"/>
              <w:bottom w:val="single" w:color="auto" w:sz="4" w:space="0"/>
              <w:right w:val="single" w:color="auto" w:sz="4" w:space="0"/>
            </w:tcBorders>
            <w:shd w:val="clear" w:color="auto" w:fill="auto"/>
            <w:noWrap/>
            <w:vAlign w:val="center"/>
          </w:tcPr>
          <w:p w14:paraId="770D9A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rPr>
            </w:pPr>
            <w:r>
              <w:rPr>
                <w:rFonts w:hint="eastAsia" w:ascii="宋体" w:hAnsi="宋体" w:eastAsia="宋体" w:cs="宋体"/>
                <w:b/>
                <w:bCs/>
                <w:i w:val="0"/>
                <w:iCs w:val="0"/>
                <w:color w:val="auto"/>
                <w:kern w:val="0"/>
                <w:sz w:val="22"/>
                <w:szCs w:val="22"/>
                <w:u w:val="none"/>
                <w:lang w:val="en-US" w:eastAsia="zh-CN"/>
              </w:rPr>
              <w:t>备注</w:t>
            </w:r>
          </w:p>
        </w:tc>
        <w:tc>
          <w:tcPr>
            <w:tcW w:w="1215" w:type="dxa"/>
            <w:tcBorders>
              <w:top w:val="nil"/>
              <w:left w:val="nil"/>
              <w:bottom w:val="single" w:color="auto" w:sz="4" w:space="0"/>
              <w:right w:val="single" w:color="auto" w:sz="4" w:space="0"/>
            </w:tcBorders>
            <w:shd w:val="clear" w:color="auto" w:fill="auto"/>
            <w:vAlign w:val="center"/>
          </w:tcPr>
          <w:p w14:paraId="077854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r>
      <w:tr w14:paraId="3328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4" w:hRule="atLeast"/>
          <w:jc w:val="center"/>
        </w:trPr>
        <w:tc>
          <w:tcPr>
            <w:tcW w:w="997" w:type="dxa"/>
            <w:tcBorders>
              <w:top w:val="nil"/>
              <w:left w:val="single" w:color="auto" w:sz="4" w:space="0"/>
              <w:bottom w:val="single" w:color="auto" w:sz="4" w:space="0"/>
              <w:right w:val="single" w:color="auto" w:sz="4" w:space="0"/>
            </w:tcBorders>
            <w:shd w:val="clear" w:color="auto" w:fill="auto"/>
            <w:noWrap/>
            <w:vAlign w:val="top"/>
          </w:tcPr>
          <w:p w14:paraId="40789B7F">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default" w:ascii="Calibri" w:hAnsi="Calibri" w:eastAsia="宋体" w:cs="Calibri"/>
                <w:kern w:val="0"/>
                <w:sz w:val="24"/>
                <w:szCs w:val="24"/>
                <w:highlight w:val="yellow"/>
                <w:lang w:val="en-US" w:eastAsia="zh-CN" w:bidi="ar"/>
              </w:rPr>
            </w:pPr>
            <w:r>
              <w:rPr>
                <w:rFonts w:hint="eastAsia" w:ascii="Calibri" w:hAnsi="Calibri" w:eastAsia="宋体" w:cs="Calibri"/>
                <w:kern w:val="0"/>
                <w:sz w:val="24"/>
                <w:szCs w:val="24"/>
                <w:highlight w:val="yellow"/>
                <w:lang w:val="en-US" w:eastAsia="zh-CN" w:bidi="ar"/>
              </w:rPr>
              <w:t>1</w:t>
            </w:r>
          </w:p>
        </w:tc>
        <w:tc>
          <w:tcPr>
            <w:tcW w:w="1900" w:type="dxa"/>
            <w:tcBorders>
              <w:top w:val="nil"/>
              <w:left w:val="nil"/>
              <w:bottom w:val="single" w:color="auto" w:sz="4" w:space="0"/>
              <w:right w:val="single" w:color="auto" w:sz="4" w:space="0"/>
            </w:tcBorders>
            <w:shd w:val="clear" w:color="auto" w:fill="auto"/>
            <w:vAlign w:val="top"/>
          </w:tcPr>
          <w:p w14:paraId="39822F83">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电缆（废铝）</w:t>
            </w:r>
          </w:p>
        </w:tc>
        <w:tc>
          <w:tcPr>
            <w:tcW w:w="1400" w:type="dxa"/>
            <w:tcBorders>
              <w:top w:val="nil"/>
              <w:left w:val="nil"/>
              <w:bottom w:val="single" w:color="auto" w:sz="4" w:space="0"/>
              <w:right w:val="single" w:color="auto" w:sz="4" w:space="0"/>
            </w:tcBorders>
            <w:shd w:val="clear" w:color="auto" w:fill="auto"/>
            <w:vAlign w:val="top"/>
          </w:tcPr>
          <w:p w14:paraId="0CBAFBD2">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1*50</w:t>
            </w:r>
          </w:p>
        </w:tc>
        <w:tc>
          <w:tcPr>
            <w:tcW w:w="1264" w:type="dxa"/>
            <w:tcBorders>
              <w:top w:val="nil"/>
              <w:left w:val="nil"/>
              <w:bottom w:val="single" w:color="auto" w:sz="4" w:space="0"/>
              <w:right w:val="single" w:color="auto" w:sz="4" w:space="0"/>
            </w:tcBorders>
            <w:shd w:val="clear" w:color="auto" w:fill="auto"/>
            <w:vAlign w:val="top"/>
          </w:tcPr>
          <w:p w14:paraId="4628EF87">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w:t>
            </w:r>
          </w:p>
        </w:tc>
        <w:tc>
          <w:tcPr>
            <w:tcW w:w="2300" w:type="dxa"/>
            <w:tcBorders>
              <w:top w:val="nil"/>
              <w:left w:val="nil"/>
              <w:bottom w:val="single" w:color="auto" w:sz="4" w:space="0"/>
              <w:right w:val="single" w:color="auto" w:sz="4" w:space="0"/>
            </w:tcBorders>
            <w:shd w:val="clear" w:color="auto" w:fill="auto"/>
            <w:vAlign w:val="top"/>
          </w:tcPr>
          <w:p w14:paraId="553E6D67">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1"/>
                <w:szCs w:val="21"/>
                <w:highlight w:val="yellow"/>
                <w:lang w:val="en-US" w:eastAsia="zh-CN" w:bidi="ar"/>
              </w:rPr>
            </w:pPr>
          </w:p>
        </w:tc>
        <w:tc>
          <w:tcPr>
            <w:tcW w:w="964" w:type="dxa"/>
            <w:tcBorders>
              <w:top w:val="nil"/>
              <w:left w:val="nil"/>
              <w:bottom w:val="single" w:color="auto" w:sz="4" w:space="0"/>
              <w:right w:val="single" w:color="auto" w:sz="4" w:space="0"/>
            </w:tcBorders>
            <w:shd w:val="clear" w:color="auto" w:fill="auto"/>
            <w:noWrap/>
            <w:vAlign w:val="center"/>
          </w:tcPr>
          <w:p w14:paraId="0A24AF6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c>
          <w:tcPr>
            <w:tcW w:w="1215" w:type="dxa"/>
            <w:tcBorders>
              <w:top w:val="nil"/>
              <w:left w:val="nil"/>
              <w:bottom w:val="single" w:color="auto" w:sz="4" w:space="0"/>
              <w:right w:val="single" w:color="auto" w:sz="4" w:space="0"/>
            </w:tcBorders>
            <w:shd w:val="clear" w:color="auto" w:fill="auto"/>
            <w:vAlign w:val="center"/>
          </w:tcPr>
          <w:p w14:paraId="446961E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r>
      <w:tr w14:paraId="0B582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jc w:val="center"/>
        </w:trPr>
        <w:tc>
          <w:tcPr>
            <w:tcW w:w="997" w:type="dxa"/>
            <w:tcBorders>
              <w:top w:val="nil"/>
              <w:left w:val="single" w:color="auto" w:sz="4" w:space="0"/>
              <w:bottom w:val="single" w:color="auto" w:sz="4" w:space="0"/>
              <w:right w:val="single" w:color="auto" w:sz="4" w:space="0"/>
            </w:tcBorders>
            <w:shd w:val="clear" w:color="auto" w:fill="auto"/>
            <w:noWrap/>
            <w:vAlign w:val="top"/>
          </w:tcPr>
          <w:p w14:paraId="7561798C">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default" w:ascii="Calibri" w:hAnsi="Calibri" w:eastAsia="宋体" w:cs="Calibri"/>
                <w:kern w:val="0"/>
                <w:sz w:val="24"/>
                <w:szCs w:val="24"/>
                <w:highlight w:val="yellow"/>
                <w:lang w:val="en-US" w:eastAsia="zh-CN" w:bidi="ar"/>
              </w:rPr>
            </w:pPr>
            <w:r>
              <w:rPr>
                <w:rFonts w:hint="eastAsia" w:ascii="Calibri" w:hAnsi="Calibri" w:eastAsia="宋体" w:cs="Calibri"/>
                <w:kern w:val="0"/>
                <w:sz w:val="24"/>
                <w:szCs w:val="24"/>
                <w:highlight w:val="yellow"/>
                <w:lang w:val="en-US" w:eastAsia="zh-CN" w:bidi="ar"/>
              </w:rPr>
              <w:t>2</w:t>
            </w:r>
          </w:p>
        </w:tc>
        <w:tc>
          <w:tcPr>
            <w:tcW w:w="1900" w:type="dxa"/>
            <w:tcBorders>
              <w:top w:val="nil"/>
              <w:left w:val="nil"/>
              <w:bottom w:val="single" w:color="auto" w:sz="4" w:space="0"/>
              <w:right w:val="single" w:color="auto" w:sz="4" w:space="0"/>
            </w:tcBorders>
            <w:shd w:val="clear" w:color="auto" w:fill="auto"/>
            <w:vAlign w:val="top"/>
          </w:tcPr>
          <w:p w14:paraId="6125EFF8">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配电箱（废铁）</w:t>
            </w:r>
          </w:p>
        </w:tc>
        <w:tc>
          <w:tcPr>
            <w:tcW w:w="1400" w:type="dxa"/>
            <w:tcBorders>
              <w:top w:val="nil"/>
              <w:left w:val="nil"/>
              <w:bottom w:val="single" w:color="auto" w:sz="4" w:space="0"/>
              <w:right w:val="single" w:color="auto" w:sz="4" w:space="0"/>
            </w:tcBorders>
            <w:shd w:val="clear" w:color="auto" w:fill="auto"/>
            <w:vAlign w:val="top"/>
          </w:tcPr>
          <w:p w14:paraId="2D32709E">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cs="宋体"/>
                <w:i w:val="0"/>
                <w:iCs w:val="0"/>
                <w:caps w:val="0"/>
                <w:color w:val="111111"/>
                <w:spacing w:val="0"/>
                <w:sz w:val="24"/>
                <w:szCs w:val="24"/>
                <w:highlight w:val="yellow"/>
                <w:shd w:val="clear" w:color="auto" w:fill="FFFFFF"/>
                <w:lang w:val="en-US" w:eastAsia="zh-CN"/>
              </w:rPr>
              <w:t>JP柜</w:t>
            </w:r>
          </w:p>
        </w:tc>
        <w:tc>
          <w:tcPr>
            <w:tcW w:w="1264" w:type="dxa"/>
            <w:tcBorders>
              <w:top w:val="nil"/>
              <w:left w:val="nil"/>
              <w:bottom w:val="single" w:color="auto" w:sz="4" w:space="0"/>
              <w:right w:val="single" w:color="auto" w:sz="4" w:space="0"/>
            </w:tcBorders>
            <w:shd w:val="clear" w:color="auto" w:fill="auto"/>
            <w:vAlign w:val="top"/>
          </w:tcPr>
          <w:p w14:paraId="3750B7F5">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3台</w:t>
            </w:r>
          </w:p>
        </w:tc>
        <w:tc>
          <w:tcPr>
            <w:tcW w:w="2300" w:type="dxa"/>
            <w:tcBorders>
              <w:top w:val="nil"/>
              <w:left w:val="nil"/>
              <w:bottom w:val="single" w:color="auto" w:sz="4" w:space="0"/>
              <w:right w:val="single" w:color="auto" w:sz="4" w:space="0"/>
            </w:tcBorders>
            <w:shd w:val="clear" w:color="auto" w:fill="auto"/>
            <w:vAlign w:val="top"/>
          </w:tcPr>
          <w:p w14:paraId="30E98DC2">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1"/>
                <w:szCs w:val="21"/>
                <w:highlight w:val="yellow"/>
                <w:lang w:val="en-US" w:eastAsia="zh-CN" w:bidi="ar"/>
              </w:rPr>
            </w:pPr>
          </w:p>
        </w:tc>
        <w:tc>
          <w:tcPr>
            <w:tcW w:w="964" w:type="dxa"/>
            <w:tcBorders>
              <w:top w:val="nil"/>
              <w:left w:val="nil"/>
              <w:bottom w:val="single" w:color="auto" w:sz="4" w:space="0"/>
              <w:right w:val="single" w:color="auto" w:sz="4" w:space="0"/>
            </w:tcBorders>
            <w:shd w:val="clear" w:color="auto" w:fill="auto"/>
            <w:noWrap/>
            <w:vAlign w:val="center"/>
          </w:tcPr>
          <w:p w14:paraId="5DA0A4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c>
          <w:tcPr>
            <w:tcW w:w="1215" w:type="dxa"/>
            <w:tcBorders>
              <w:top w:val="nil"/>
              <w:left w:val="nil"/>
              <w:bottom w:val="single" w:color="auto" w:sz="4" w:space="0"/>
              <w:right w:val="single" w:color="auto" w:sz="4" w:space="0"/>
            </w:tcBorders>
            <w:shd w:val="clear" w:color="auto" w:fill="auto"/>
            <w:vAlign w:val="center"/>
          </w:tcPr>
          <w:p w14:paraId="359B185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r>
      <w:tr w14:paraId="5BD3D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 w:hRule="atLeast"/>
          <w:jc w:val="center"/>
        </w:trPr>
        <w:tc>
          <w:tcPr>
            <w:tcW w:w="997" w:type="dxa"/>
            <w:tcBorders>
              <w:top w:val="nil"/>
              <w:left w:val="single" w:color="auto" w:sz="4" w:space="0"/>
              <w:bottom w:val="single" w:color="auto" w:sz="4" w:space="0"/>
              <w:right w:val="single" w:color="auto" w:sz="4" w:space="0"/>
            </w:tcBorders>
            <w:shd w:val="clear" w:color="auto" w:fill="auto"/>
            <w:noWrap/>
            <w:vAlign w:val="top"/>
          </w:tcPr>
          <w:p w14:paraId="622B858C">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default" w:ascii="Calibri" w:hAnsi="Calibri" w:eastAsia="宋体" w:cs="Calibri"/>
                <w:kern w:val="0"/>
                <w:sz w:val="24"/>
                <w:szCs w:val="24"/>
                <w:highlight w:val="yellow"/>
                <w:lang w:val="en-US" w:eastAsia="zh-CN" w:bidi="ar"/>
              </w:rPr>
            </w:pPr>
            <w:r>
              <w:rPr>
                <w:rFonts w:hint="eastAsia" w:ascii="Calibri" w:hAnsi="Calibri" w:eastAsia="宋体" w:cs="Calibri"/>
                <w:kern w:val="0"/>
                <w:sz w:val="24"/>
                <w:szCs w:val="24"/>
                <w:highlight w:val="yellow"/>
                <w:lang w:val="en-US" w:eastAsia="zh-CN" w:bidi="ar"/>
              </w:rPr>
              <w:t>3</w:t>
            </w:r>
          </w:p>
        </w:tc>
        <w:tc>
          <w:tcPr>
            <w:tcW w:w="1900" w:type="dxa"/>
            <w:tcBorders>
              <w:top w:val="nil"/>
              <w:left w:val="nil"/>
              <w:bottom w:val="single" w:color="auto" w:sz="4" w:space="0"/>
              <w:right w:val="single" w:color="auto" w:sz="4" w:space="0"/>
            </w:tcBorders>
            <w:shd w:val="clear" w:color="auto" w:fill="auto"/>
            <w:vAlign w:val="top"/>
          </w:tcPr>
          <w:p w14:paraId="66CAD096">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变压器</w:t>
            </w:r>
          </w:p>
        </w:tc>
        <w:tc>
          <w:tcPr>
            <w:tcW w:w="1400" w:type="dxa"/>
            <w:tcBorders>
              <w:top w:val="nil"/>
              <w:left w:val="nil"/>
              <w:bottom w:val="single" w:color="auto" w:sz="4" w:space="0"/>
              <w:right w:val="single" w:color="auto" w:sz="4" w:space="0"/>
            </w:tcBorders>
            <w:shd w:val="clear" w:color="auto" w:fill="auto"/>
            <w:vAlign w:val="top"/>
          </w:tcPr>
          <w:p w14:paraId="2FA78F73">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S11-M-400</w:t>
            </w:r>
          </w:p>
        </w:tc>
        <w:tc>
          <w:tcPr>
            <w:tcW w:w="1264" w:type="dxa"/>
            <w:tcBorders>
              <w:top w:val="nil"/>
              <w:left w:val="nil"/>
              <w:bottom w:val="single" w:color="auto" w:sz="4" w:space="0"/>
              <w:right w:val="single" w:color="auto" w:sz="4" w:space="0"/>
            </w:tcBorders>
            <w:shd w:val="clear" w:color="auto" w:fill="auto"/>
            <w:vAlign w:val="top"/>
          </w:tcPr>
          <w:p w14:paraId="1E5DBC6A">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4"/>
                <w:szCs w:val="24"/>
                <w:highlight w:val="yellow"/>
                <w:lang w:val="en-US" w:eastAsia="zh-CN" w:bidi="ar"/>
              </w:rPr>
            </w:pPr>
            <w:r>
              <w:rPr>
                <w:rFonts w:hint="eastAsia" w:ascii="宋体" w:hAnsi="宋体" w:eastAsia="宋体" w:cs="宋体"/>
                <w:i w:val="0"/>
                <w:iCs w:val="0"/>
                <w:caps w:val="0"/>
                <w:color w:val="111111"/>
                <w:spacing w:val="0"/>
                <w:sz w:val="24"/>
                <w:szCs w:val="24"/>
                <w:highlight w:val="yellow"/>
                <w:shd w:val="clear" w:color="auto" w:fill="FFFFFF"/>
              </w:rPr>
              <w:t>3台</w:t>
            </w:r>
          </w:p>
        </w:tc>
        <w:tc>
          <w:tcPr>
            <w:tcW w:w="2300" w:type="dxa"/>
            <w:tcBorders>
              <w:top w:val="nil"/>
              <w:left w:val="nil"/>
              <w:bottom w:val="single" w:color="auto" w:sz="4" w:space="0"/>
              <w:right w:val="single" w:color="auto" w:sz="4" w:space="0"/>
            </w:tcBorders>
            <w:shd w:val="clear" w:color="auto" w:fill="auto"/>
            <w:vAlign w:val="top"/>
          </w:tcPr>
          <w:p w14:paraId="490545A2">
            <w:pPr>
              <w:pStyle w:val="2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leftChars="0" w:right="0" w:rightChars="0"/>
              <w:jc w:val="center"/>
              <w:rPr>
                <w:rFonts w:hint="eastAsia" w:ascii="Calibri" w:hAnsi="Calibri" w:eastAsia="宋体" w:cs="Calibri"/>
                <w:kern w:val="0"/>
                <w:sz w:val="21"/>
                <w:szCs w:val="21"/>
                <w:highlight w:val="yellow"/>
                <w:lang w:val="en-US" w:eastAsia="zh-CN" w:bidi="ar"/>
              </w:rPr>
            </w:pPr>
          </w:p>
        </w:tc>
        <w:tc>
          <w:tcPr>
            <w:tcW w:w="964" w:type="dxa"/>
            <w:tcBorders>
              <w:top w:val="nil"/>
              <w:left w:val="nil"/>
              <w:bottom w:val="single" w:color="auto" w:sz="4" w:space="0"/>
              <w:right w:val="single" w:color="auto" w:sz="4" w:space="0"/>
            </w:tcBorders>
            <w:shd w:val="clear" w:color="auto" w:fill="auto"/>
            <w:noWrap/>
            <w:vAlign w:val="center"/>
          </w:tcPr>
          <w:p w14:paraId="36DBB2B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c>
          <w:tcPr>
            <w:tcW w:w="1215" w:type="dxa"/>
            <w:tcBorders>
              <w:top w:val="nil"/>
              <w:left w:val="nil"/>
              <w:bottom w:val="single" w:color="auto" w:sz="4" w:space="0"/>
              <w:right w:val="single" w:color="auto" w:sz="4" w:space="0"/>
            </w:tcBorders>
            <w:shd w:val="clear" w:color="auto" w:fill="auto"/>
            <w:vAlign w:val="center"/>
          </w:tcPr>
          <w:p w14:paraId="354E9AB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r>
      <w:tr w14:paraId="391CD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 w:hRule="atLeast"/>
          <w:jc w:val="center"/>
        </w:trPr>
        <w:tc>
          <w:tcPr>
            <w:tcW w:w="10040" w:type="dxa"/>
            <w:gridSpan w:val="7"/>
            <w:tcBorders>
              <w:top w:val="nil"/>
              <w:left w:val="single" w:color="auto" w:sz="4" w:space="0"/>
              <w:bottom w:val="single" w:color="auto" w:sz="4" w:space="0"/>
              <w:right w:val="single" w:color="auto" w:sz="4" w:space="0"/>
            </w:tcBorders>
            <w:shd w:val="clear" w:color="auto" w:fill="auto"/>
            <w:noWrap/>
            <w:vAlign w:val="top"/>
          </w:tcPr>
          <w:p w14:paraId="4A3E2E5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rPr>
            </w:pPr>
          </w:p>
          <w:p w14:paraId="2207C5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b/>
                <w:bCs/>
                <w:i w:val="0"/>
                <w:iCs w:val="0"/>
                <w:color w:val="auto"/>
                <w:kern w:val="0"/>
                <w:sz w:val="22"/>
                <w:szCs w:val="22"/>
                <w:u w:val="none"/>
                <w:lang w:val="en-US" w:eastAsia="zh-CN"/>
              </w:rPr>
            </w:pPr>
            <w:r>
              <w:rPr>
                <w:rFonts w:hint="eastAsia" w:ascii="宋体" w:hAnsi="宋体" w:eastAsia="宋体" w:cs="宋体"/>
                <w:b/>
                <w:bCs/>
                <w:i w:val="0"/>
                <w:iCs w:val="0"/>
                <w:color w:val="auto"/>
                <w:kern w:val="0"/>
                <w:sz w:val="22"/>
                <w:szCs w:val="22"/>
                <w:u w:val="none"/>
                <w:lang w:val="en-US" w:eastAsia="zh-CN"/>
              </w:rPr>
              <w:t>投标总价：</w:t>
            </w:r>
          </w:p>
        </w:tc>
      </w:tr>
      <w:tr w14:paraId="193D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00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6CE937D9">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报价单位：</w:t>
            </w:r>
          </w:p>
        </w:tc>
      </w:tr>
      <w:tr w14:paraId="7112B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100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F5E48F7">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日期： 年    月    日</w:t>
            </w:r>
          </w:p>
        </w:tc>
      </w:tr>
      <w:tr w14:paraId="509C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jc w:val="center"/>
        </w:trPr>
        <w:tc>
          <w:tcPr>
            <w:tcW w:w="100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14401C72">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后附营业执照</w:t>
            </w:r>
          </w:p>
        </w:tc>
      </w:tr>
    </w:tbl>
    <w:p w14:paraId="72CC188C">
      <w:pPr>
        <w:pStyle w:val="24"/>
        <w:rPr>
          <w:rFonts w:hint="eastAsia" w:ascii="微软雅黑" w:hAnsi="微软雅黑" w:eastAsia="微软雅黑" w:cs="微软雅黑"/>
          <w:b/>
          <w:sz w:val="22"/>
          <w:szCs w:val="22"/>
          <w:highlight w:val="none"/>
          <w:lang w:val="en-US" w:eastAsia="zh-CN"/>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26D244BA"/>
    <w:multiLevelType w:val="singleLevel"/>
    <w:tmpl w:val="26D244BA"/>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